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dzierżawnego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91287A" w:rsidRPr="0091287A">
        <w:rPr>
          <w:rFonts w:ascii="Tahoma" w:hAnsi="Tahoma" w:cs="Tahoma"/>
        </w:rPr>
        <w:br/>
        <w:t>o łącznej powierzchni 75,6 m</w:t>
      </w:r>
      <w:r w:rsidR="0091287A" w:rsidRPr="0091287A">
        <w:rPr>
          <w:rFonts w:ascii="Tahoma" w:hAnsi="Tahoma" w:cs="Tahoma"/>
          <w:vertAlign w:val="superscript"/>
        </w:rPr>
        <w:t xml:space="preserve">2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w budynku Inżynierii Środowiska </w:t>
      </w:r>
      <w:r w:rsidR="0091287A">
        <w:rPr>
          <w:rFonts w:ascii="Tahoma" w:hAnsi="Tahoma" w:cs="Tahoma"/>
        </w:rPr>
        <w:br/>
      </w:r>
      <w:r w:rsidR="0091287A" w:rsidRPr="0091287A">
        <w:rPr>
          <w:rFonts w:ascii="Tahoma" w:hAnsi="Tahoma" w:cs="Tahoma"/>
        </w:rPr>
        <w:t xml:space="preserve">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D60A80" w:rsidRPr="00E7332F">
        <w:rPr>
          <w:rFonts w:ascii="Tahoma" w:hAnsi="Tahoma" w:cs="Tahoma"/>
          <w:b/>
        </w:rPr>
        <w:t>40,8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E26C1E" w:rsidRPr="00D1558E" w:rsidRDefault="005C69F5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Oprócz czynszu </w:t>
      </w:r>
      <w:r w:rsidR="009C174F">
        <w:rPr>
          <w:rFonts w:ascii="Tahoma" w:hAnsi="Tahoma" w:cs="Tahoma"/>
        </w:rPr>
        <w:t>dzierżawca</w:t>
      </w:r>
      <w:r w:rsidR="00E26C1E" w:rsidRPr="00E26C1E">
        <w:rPr>
          <w:rFonts w:ascii="Tahoma" w:hAnsi="Tahoma" w:cs="Tahoma"/>
        </w:rPr>
        <w:t xml:space="preserve"> będzie zobowiązany do zapłaty kosztów eksploatacyjnych związanych z pomieszczeniem, jak: ogrzewanie, energia elektryczna, zimna woda</w:t>
      </w:r>
      <w:r w:rsidR="00902CB9">
        <w:rPr>
          <w:rFonts w:ascii="Tahoma" w:hAnsi="Tahoma" w:cs="Tahoma"/>
        </w:rPr>
        <w:br/>
      </w:r>
      <w:r w:rsidR="000714A8">
        <w:rPr>
          <w:rFonts w:ascii="Tahoma" w:hAnsi="Tahoma" w:cs="Tahoma"/>
        </w:rPr>
        <w:t>z odprowadzeniem ścieków, wywozu nieczystości komunalnych.</w:t>
      </w:r>
      <w:r w:rsidR="00E26C1E"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036D16" w:rsidRPr="00C90E66">
        <w:rPr>
          <w:rFonts w:ascii="Tahoma" w:hAnsi="Tahoma" w:cs="Tahoma"/>
        </w:rPr>
        <w:t>dzierżawy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C90E66" w:rsidRPr="0091287A">
        <w:rPr>
          <w:rFonts w:ascii="Tahoma" w:hAnsi="Tahoma" w:cs="Tahoma"/>
        </w:rPr>
        <w:t>o łącznej powierzchni 75,6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81366" w:rsidRPr="00C90E66">
        <w:rPr>
          <w:rFonts w:ascii="Tahoma" w:hAnsi="Tahoma" w:cs="Tahoma"/>
        </w:rPr>
        <w:t>dzierżawy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Pr="0091287A">
        <w:rPr>
          <w:rFonts w:ascii="Tahoma" w:hAnsi="Tahoma" w:cs="Tahoma"/>
        </w:rPr>
        <w:t>o łącznej powierzchni 75,6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br/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dzierżawę </w:t>
      </w:r>
      <w:r w:rsidR="00A14E6B" w:rsidRPr="00A14E6B">
        <w:rPr>
          <w:rFonts w:ascii="Tahoma" w:hAnsi="Tahoma" w:cs="Tahoma"/>
        </w:rPr>
        <w:t>pomieszczeń</w:t>
      </w:r>
      <w:r w:rsidR="00A14E6B" w:rsidRPr="00A14E6B">
        <w:rPr>
          <w:rFonts w:ascii="Tahoma" w:hAnsi="Tahoma" w:cs="Tahoma"/>
        </w:rPr>
        <w:br/>
        <w:t>o łącznej powierzchni 75,6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 xml:space="preserve">zlokalizowanych 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bookmarkStart w:id="0" w:name="_GoBack"/>
      <w:bookmarkEnd w:id="0"/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A14E6B">
        <w:rPr>
          <w:rFonts w:ascii="Tahoma" w:hAnsi="Tahoma" w:cs="Tahoma"/>
        </w:rPr>
        <w:t>:</w:t>
      </w:r>
      <w:r w:rsidRPr="00A14E6B">
        <w:rPr>
          <w:rFonts w:ascii="Tahoma" w:hAnsi="Tahoma" w:cs="Tahoma"/>
        </w:rPr>
        <w:t xml:space="preserve"> </w:t>
      </w:r>
    </w:p>
    <w:p w:rsidR="00A14E6B" w:rsidRPr="00A14E6B" w:rsidRDefault="00A14E6B" w:rsidP="00A14E6B">
      <w:pPr>
        <w:pStyle w:val="Akapitzlis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12121"/>
        </w:rPr>
        <w:t xml:space="preserve">- </w:t>
      </w:r>
      <w:r w:rsidRPr="00A14E6B">
        <w:rPr>
          <w:rFonts w:ascii="Tahoma" w:hAnsi="Tahoma" w:cs="Tahoma"/>
          <w:color w:val="212121"/>
        </w:rPr>
        <w:t xml:space="preserve">Poradnię POZ (świadczenia Lekarza POZ, Pielęgniarki POZ, Położnej POZ) stacjonarne, </w:t>
      </w:r>
      <w:proofErr w:type="spellStart"/>
      <w:r w:rsidRPr="00A14E6B">
        <w:rPr>
          <w:rFonts w:ascii="Tahoma" w:hAnsi="Tahoma" w:cs="Tahoma"/>
          <w:color w:val="212121"/>
        </w:rPr>
        <w:t>teleporady</w:t>
      </w:r>
      <w:proofErr w:type="spellEnd"/>
      <w:r w:rsidRPr="00A14E6B">
        <w:rPr>
          <w:rFonts w:ascii="Tahoma" w:hAnsi="Tahoma" w:cs="Tahoma"/>
          <w:color w:val="212121"/>
        </w:rPr>
        <w:t>, e-skierowania, e-zwolnienia, dokumentacja elektroniczna, e-recepty;</w:t>
      </w:r>
    </w:p>
    <w:p w:rsidR="00A14E6B" w:rsidRPr="00A14E6B" w:rsidRDefault="00A14E6B" w:rsidP="00A14E6B">
      <w:pPr>
        <w:pStyle w:val="Akapitzlis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12121"/>
        </w:rPr>
        <w:t xml:space="preserve">- </w:t>
      </w:r>
      <w:r w:rsidRPr="00A14E6B">
        <w:rPr>
          <w:rFonts w:ascii="Tahoma" w:hAnsi="Tahoma" w:cs="Tahoma"/>
          <w:color w:val="212121"/>
        </w:rPr>
        <w:t>Punkt szczepień p/covid-19 – możliwość zaszczepienia studentów oraz pracowników Uniwersytetu Przyrodniczego</w:t>
      </w:r>
      <w:r w:rsidR="004118B8">
        <w:rPr>
          <w:rFonts w:ascii="Tahoma" w:hAnsi="Tahoma" w:cs="Tahoma"/>
          <w:color w:val="212121"/>
        </w:rPr>
        <w:t xml:space="preserve"> w Poznaniu</w:t>
      </w:r>
      <w:r w:rsidRPr="00A14E6B">
        <w:rPr>
          <w:rFonts w:ascii="Tahoma" w:hAnsi="Tahoma" w:cs="Tahoma"/>
          <w:color w:val="212121"/>
        </w:rPr>
        <w:t>;</w:t>
      </w:r>
    </w:p>
    <w:p w:rsidR="00A14E6B" w:rsidRPr="00A14E6B" w:rsidRDefault="00A14E6B" w:rsidP="00A14E6B">
      <w:pPr>
        <w:pStyle w:val="Akapitzlis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12121"/>
        </w:rPr>
        <w:t xml:space="preserve">- </w:t>
      </w:r>
      <w:r w:rsidRPr="00A14E6B">
        <w:rPr>
          <w:rFonts w:ascii="Tahoma" w:hAnsi="Tahoma" w:cs="Tahoma"/>
          <w:color w:val="212121"/>
        </w:rPr>
        <w:t>Punkt szczepień -  m.in. szczepienia - p/grypie możliwość zaszczepienia studentów oraz pracowników Uniwersytetu Przyrodniczego</w:t>
      </w:r>
      <w:r w:rsidR="004118B8">
        <w:rPr>
          <w:rFonts w:ascii="Tahoma" w:hAnsi="Tahoma" w:cs="Tahoma"/>
          <w:color w:val="212121"/>
        </w:rPr>
        <w:t xml:space="preserve"> w Poznaniu</w:t>
      </w:r>
      <w:r w:rsidRPr="00A14E6B">
        <w:rPr>
          <w:rFonts w:ascii="Tahoma" w:hAnsi="Tahoma" w:cs="Tahoma"/>
          <w:color w:val="212121"/>
        </w:rPr>
        <w:t>;</w:t>
      </w:r>
    </w:p>
    <w:p w:rsidR="00A14E6B" w:rsidRPr="00A14E6B" w:rsidRDefault="00A14E6B" w:rsidP="00A14E6B">
      <w:pPr>
        <w:pStyle w:val="Akapitzlis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12121"/>
        </w:rPr>
        <w:t xml:space="preserve">- </w:t>
      </w:r>
      <w:r w:rsidRPr="00A14E6B">
        <w:rPr>
          <w:rFonts w:ascii="Tahoma" w:hAnsi="Tahoma" w:cs="Tahoma"/>
          <w:color w:val="212121"/>
        </w:rPr>
        <w:t>Realizację profilaktyki w ramach NFZ;</w:t>
      </w:r>
    </w:p>
    <w:p w:rsidR="00A14E6B" w:rsidRPr="00A14E6B" w:rsidRDefault="003C20C1" w:rsidP="003C20C1">
      <w:pPr>
        <w:pStyle w:val="Akapitzlis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12121"/>
        </w:rPr>
        <w:t xml:space="preserve">- </w:t>
      </w:r>
      <w:r w:rsidR="00A14E6B" w:rsidRPr="00A14E6B">
        <w:rPr>
          <w:rFonts w:ascii="Tahoma" w:hAnsi="Tahoma" w:cs="Tahoma"/>
          <w:color w:val="212121"/>
        </w:rPr>
        <w:t>Udzielanie świadczeń medycznych obcokrajowcom;</w:t>
      </w:r>
    </w:p>
    <w:p w:rsidR="00BE20E8" w:rsidRPr="00BE20E8" w:rsidRDefault="003C20C1" w:rsidP="00BE20E8">
      <w:pPr>
        <w:pStyle w:val="Akapitzlist"/>
        <w:shd w:val="clear" w:color="auto" w:fill="FFFFFF"/>
        <w:jc w:val="both"/>
        <w:rPr>
          <w:rFonts w:ascii="Tahoma" w:hAnsi="Tahoma" w:cs="Tahoma"/>
          <w:color w:val="212121"/>
        </w:rPr>
      </w:pPr>
      <w:r>
        <w:rPr>
          <w:rFonts w:ascii="Tahoma" w:hAnsi="Tahoma" w:cs="Tahoma"/>
          <w:color w:val="212121"/>
        </w:rPr>
        <w:t xml:space="preserve">- </w:t>
      </w:r>
      <w:r w:rsidR="00A14E6B" w:rsidRPr="00A14E6B">
        <w:rPr>
          <w:rFonts w:ascii="Tahoma" w:hAnsi="Tahoma" w:cs="Tahoma"/>
          <w:color w:val="212121"/>
        </w:rPr>
        <w:t>Punkt pobrań.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wydzierżawianego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309D2" w:rsidRPr="00A234F8" w:rsidRDefault="007F2833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poczekalnia dla pacje</w:t>
      </w:r>
      <w:r w:rsidR="00EF3B51">
        <w:rPr>
          <w:rFonts w:ascii="Tahoma" w:hAnsi="Tahoma" w:cs="Tahoma"/>
        </w:rPr>
        <w:t>ntów – pow. 13,2 m</w:t>
      </w:r>
      <w:r w:rsidR="00EF3B51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kabina higieny osobistej – pow. 3,2</w:t>
      </w:r>
      <w:r w:rsidRPr="00EF3B5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EF3B51" w:rsidRPr="00A234F8" w:rsidRDefault="00EF3B51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C2D1F">
        <w:rPr>
          <w:rFonts w:ascii="Tahoma" w:hAnsi="Tahoma" w:cs="Tahoma"/>
        </w:rPr>
        <w:t>kabina higieny osobistej – pow. 3,0</w:t>
      </w:r>
      <w:r w:rsidR="009C2D1F" w:rsidRPr="00EF3B51">
        <w:rPr>
          <w:rFonts w:ascii="Tahoma" w:hAnsi="Tahoma" w:cs="Tahoma"/>
        </w:rPr>
        <w:t xml:space="preserve"> </w:t>
      </w:r>
      <w:r w:rsidR="009C2D1F">
        <w:rPr>
          <w:rFonts w:ascii="Tahoma" w:hAnsi="Tahoma" w:cs="Tahoma"/>
        </w:rPr>
        <w:t>m</w:t>
      </w:r>
      <w:r w:rsidR="009C2D1F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AC365A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rejestracja + pomieszczenie socjalne – pow. 10,6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personelu – pow. 1,8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 dla pacjentów </w:t>
      </w:r>
      <w:r w:rsidR="00AC365A">
        <w:rPr>
          <w:rFonts w:ascii="Tahoma" w:hAnsi="Tahoma" w:cs="Tahoma"/>
        </w:rPr>
        <w:t>– pow. 3,2</w:t>
      </w:r>
      <w:r w:rsidR="00AC365A" w:rsidRPr="00AC365A">
        <w:rPr>
          <w:rFonts w:ascii="Tahoma" w:hAnsi="Tahoma" w:cs="Tahoma"/>
        </w:rPr>
        <w:t xml:space="preserve">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gabinet lekarski – pow. 18,3 </w:t>
      </w:r>
      <w:r w:rsidR="00AC365A">
        <w:rPr>
          <w:rFonts w:ascii="Tahoma" w:hAnsi="Tahoma" w:cs="Tahoma"/>
        </w:rPr>
        <w:t>m</w:t>
      </w:r>
      <w:r w:rsidR="00AC365A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</w:p>
    <w:p w:rsidR="009C2D1F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gabinet lekarski – pow</w:t>
      </w:r>
      <w:r w:rsidR="00AC365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20,0</w:t>
      </w:r>
      <w:r w:rsidR="00F670A6" w:rsidRPr="00F670A6">
        <w:rPr>
          <w:rFonts w:ascii="Tahoma" w:hAnsi="Tahoma" w:cs="Tahoma"/>
        </w:rPr>
        <w:t xml:space="preserve"> </w:t>
      </w:r>
      <w:r w:rsidR="00F670A6">
        <w:rPr>
          <w:rFonts w:ascii="Tahoma" w:hAnsi="Tahoma" w:cs="Tahoma"/>
        </w:rPr>
        <w:t>m</w:t>
      </w:r>
      <w:r w:rsidR="00F670A6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9C2D1F" w:rsidRPr="00A234F8" w:rsidRDefault="009C2D1F" w:rsidP="00A309D2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pomieszczenie gospodarcze – pow. 2,3 </w:t>
      </w:r>
      <w:r w:rsidR="00F670A6">
        <w:rPr>
          <w:rFonts w:ascii="Tahoma" w:hAnsi="Tahoma" w:cs="Tahoma"/>
        </w:rPr>
        <w:t>m</w:t>
      </w:r>
      <w:r w:rsidR="00F670A6">
        <w:rPr>
          <w:rFonts w:ascii="Tahoma" w:hAnsi="Tahoma" w:cs="Tahoma"/>
          <w:vertAlign w:val="superscript"/>
        </w:rPr>
        <w:t>2</w:t>
      </w:r>
      <w:r w:rsidR="00A234F8">
        <w:rPr>
          <w:rFonts w:ascii="Tahoma" w:hAnsi="Tahoma" w:cs="Tahoma"/>
        </w:rPr>
        <w:t>.</w:t>
      </w:r>
    </w:p>
    <w:p w:rsidR="00AC365A" w:rsidRDefault="00AC365A" w:rsidP="00A309D2">
      <w:pPr>
        <w:pStyle w:val="Akapitzlist"/>
        <w:spacing w:before="60" w:after="60"/>
        <w:jc w:val="both"/>
        <w:rPr>
          <w:rFonts w:ascii="Tahoma" w:hAnsi="Tahoma" w:cs="Tahoma"/>
        </w:rPr>
      </w:pP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381366">
        <w:rPr>
          <w:rFonts w:ascii="Tahoma" w:hAnsi="Tahoma" w:cs="Tahoma"/>
          <w:b/>
        </w:rPr>
        <w:t>dzierżawcy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>pomieszczeń na działalność medyczną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dzierżawy </w:t>
      </w:r>
      <w:r w:rsidR="000714A8">
        <w:rPr>
          <w:rFonts w:ascii="Tahoma" w:hAnsi="Tahoma" w:cs="Tahoma"/>
        </w:rPr>
        <w:t xml:space="preserve">pomieszczeń </w:t>
      </w:r>
      <w:r w:rsidR="00F670A6" w:rsidRPr="0091287A">
        <w:rPr>
          <w:rFonts w:ascii="Tahoma" w:hAnsi="Tahoma" w:cs="Tahoma"/>
        </w:rPr>
        <w:t>o łącznej powierzchni 75,6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670A6" w:rsidRPr="00941217">
        <w:rPr>
          <w:rFonts w:ascii="Tahoma" w:hAnsi="Tahoma" w:cs="Tahoma"/>
        </w:rPr>
        <w:t xml:space="preserve"> </w:t>
      </w:r>
      <w:r w:rsidR="003E23B7" w:rsidRPr="00941217">
        <w:rPr>
          <w:rFonts w:ascii="Tahoma" w:hAnsi="Tahoma" w:cs="Tahoma"/>
        </w:rPr>
        <w:t>opisanych</w:t>
      </w:r>
      <w:r w:rsidR="000714A8">
        <w:rPr>
          <w:rFonts w:ascii="Tahoma" w:hAnsi="Tahoma" w:cs="Tahoma"/>
        </w:rPr>
        <w:t xml:space="preserve"> </w:t>
      </w:r>
      <w:r w:rsidRPr="005C69F5">
        <w:rPr>
          <w:rFonts w:ascii="Tahoma" w:hAnsi="Tahoma" w:cs="Tahoma"/>
        </w:rPr>
        <w:t>w par. IV</w:t>
      </w:r>
      <w:r w:rsidR="003E23B7" w:rsidRPr="005C69F5">
        <w:rPr>
          <w:rFonts w:ascii="Tahoma" w:hAnsi="Tahoma" w:cs="Tahoma"/>
        </w:rPr>
        <w:t xml:space="preserve"> pkt.2</w:t>
      </w:r>
      <w:r w:rsidR="0095449C" w:rsidRPr="005C69F5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>przedmiotu dzierżawy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>cych i napraw dzierżawionych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dzierżawionych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Pr="003B4571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czynszu dzierżawnego,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9C47E6">
        <w:rPr>
          <w:rFonts w:ascii="Tahoma" w:hAnsi="Tahoma" w:cs="Tahoma"/>
        </w:rPr>
        <w:t>3 793,91</w:t>
      </w:r>
      <w:r>
        <w:rPr>
          <w:rFonts w:ascii="Tahoma" w:hAnsi="Tahoma" w:cs="Tahoma"/>
        </w:rPr>
        <w:t xml:space="preserve"> zł (słownie złotych: </w:t>
      </w:r>
      <w:r w:rsidR="009C47E6">
        <w:rPr>
          <w:rFonts w:ascii="Tahoma" w:hAnsi="Tahoma" w:cs="Tahoma"/>
        </w:rPr>
        <w:t>trzy tysiące siedemset dziewięćdziesiąt trzy  91</w:t>
      </w:r>
      <w:r>
        <w:rPr>
          <w:rFonts w:ascii="Tahoma" w:hAnsi="Tahoma" w:cs="Tahoma"/>
        </w:rPr>
        <w:t xml:space="preserve">/100), najpóźniej do dnia </w:t>
      </w:r>
      <w:r w:rsidR="00005E43">
        <w:rPr>
          <w:rFonts w:ascii="Tahoma" w:hAnsi="Tahoma" w:cs="Tahoma"/>
        </w:rPr>
        <w:t>11 sierpnia 2021</w:t>
      </w:r>
      <w:r>
        <w:rPr>
          <w:rFonts w:ascii="Tahoma" w:hAnsi="Tahoma" w:cs="Tahoma"/>
        </w:rPr>
        <w:t xml:space="preserve"> r. na konto Uniwersytetu Przyrodniczego w Poznaniu w Santander Bank  Polska S.A., nr rachunku 29 1090 1362 0000 0000 3601 7894. 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>dotyczącej wysokości czynszu 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B0575A">
        <w:rPr>
          <w:rFonts w:ascii="Tahoma" w:hAnsi="Tahoma" w:cs="Tahoma"/>
        </w:rPr>
        <w:t xml:space="preserve"> oraz telefon kontaktowy.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lastRenderedPageBreak/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D12C20" w:rsidRPr="00973E0C">
        <w:rPr>
          <w:rFonts w:ascii="Tahoma" w:hAnsi="Tahoma" w:cs="Tahoma"/>
        </w:rPr>
        <w:t>dzierżawcy</w:t>
      </w:r>
      <w:r w:rsidR="000C62C1" w:rsidRPr="00973E0C">
        <w:rPr>
          <w:rFonts w:ascii="Tahoma" w:hAnsi="Tahoma" w:cs="Tahoma"/>
        </w:rPr>
        <w:t xml:space="preserve"> </w:t>
      </w:r>
      <w:r w:rsidR="00135A38">
        <w:rPr>
          <w:rFonts w:ascii="Tahoma" w:hAnsi="Tahoma" w:cs="Tahoma"/>
        </w:rPr>
        <w:t>pomieszczeń na działalność medyczną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8D1106">
        <w:rPr>
          <w:rFonts w:ascii="Tahoma" w:hAnsi="Tahoma" w:cs="Tahoma"/>
        </w:rPr>
        <w:t xml:space="preserve">12 </w:t>
      </w:r>
      <w:r w:rsidR="00135A38">
        <w:rPr>
          <w:rFonts w:ascii="Tahoma" w:hAnsi="Tahoma" w:cs="Tahoma"/>
        </w:rPr>
        <w:t>sierpnia 2021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1F257A" w:rsidRPr="00973E0C">
        <w:rPr>
          <w:rFonts w:ascii="Tahoma" w:hAnsi="Tahoma" w:cs="Tahoma"/>
        </w:rPr>
        <w:t xml:space="preserve"> Sekcji ds. Gospodarki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7E0B4F" w:rsidRPr="00894C85" w:rsidRDefault="00AF3461" w:rsidP="009B17E6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dzierżawnego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8D1106">
        <w:rPr>
          <w:rFonts w:ascii="Tahoma" w:hAnsi="Tahoma" w:cs="Tahoma"/>
        </w:rPr>
        <w:t>terminie do 13.08.</w:t>
      </w:r>
      <w:r w:rsidR="00135A38">
        <w:rPr>
          <w:rFonts w:ascii="Tahoma" w:hAnsi="Tahoma" w:cs="Tahoma"/>
        </w:rPr>
        <w:t xml:space="preserve"> 2021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DE" w:rsidRDefault="006459DE" w:rsidP="00445830">
      <w:pPr>
        <w:spacing w:after="0" w:line="240" w:lineRule="auto"/>
      </w:pPr>
      <w:r>
        <w:separator/>
      </w:r>
    </w:p>
  </w:endnote>
  <w:endnote w:type="continuationSeparator" w:id="0">
    <w:p w:rsidR="006459DE" w:rsidRDefault="006459DE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DE" w:rsidRDefault="006459DE" w:rsidP="00445830">
      <w:pPr>
        <w:spacing w:after="0" w:line="240" w:lineRule="auto"/>
      </w:pPr>
      <w:r>
        <w:separator/>
      </w:r>
    </w:p>
  </w:footnote>
  <w:footnote w:type="continuationSeparator" w:id="0">
    <w:p w:rsidR="006459DE" w:rsidRDefault="006459DE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9C174F">
      <w:rPr>
        <w:rFonts w:ascii="Tahoma" w:hAnsi="Tahoma" w:cs="Tahoma"/>
        <w:b/>
        <w:color w:val="4F6228" w:themeColor="accent3" w:themeShade="80"/>
        <w:sz w:val="24"/>
        <w:szCs w:val="24"/>
      </w:rPr>
      <w:t xml:space="preserve">dzierżawcy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t xml:space="preserve">pomieszczeń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br/>
      <w:t>na działalność medyczną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64B3"/>
    <w:rsid w:val="00036D16"/>
    <w:rsid w:val="00053795"/>
    <w:rsid w:val="0006277F"/>
    <w:rsid w:val="000714A8"/>
    <w:rsid w:val="00073158"/>
    <w:rsid w:val="00091A77"/>
    <w:rsid w:val="000950C5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35A38"/>
    <w:rsid w:val="0014732D"/>
    <w:rsid w:val="00147895"/>
    <w:rsid w:val="00151ACC"/>
    <w:rsid w:val="00163126"/>
    <w:rsid w:val="001631B9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257A"/>
    <w:rsid w:val="001F55B9"/>
    <w:rsid w:val="00205477"/>
    <w:rsid w:val="00207819"/>
    <w:rsid w:val="002157B0"/>
    <w:rsid w:val="00224317"/>
    <w:rsid w:val="00225AAC"/>
    <w:rsid w:val="00235443"/>
    <w:rsid w:val="00250602"/>
    <w:rsid w:val="0025394D"/>
    <w:rsid w:val="002604CC"/>
    <w:rsid w:val="00274422"/>
    <w:rsid w:val="00291D6C"/>
    <w:rsid w:val="00294E37"/>
    <w:rsid w:val="00295138"/>
    <w:rsid w:val="0029528C"/>
    <w:rsid w:val="002A28FD"/>
    <w:rsid w:val="002A48B0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11EAE"/>
    <w:rsid w:val="00317784"/>
    <w:rsid w:val="00332F7E"/>
    <w:rsid w:val="003421F5"/>
    <w:rsid w:val="00346EB4"/>
    <w:rsid w:val="003518FA"/>
    <w:rsid w:val="003530E4"/>
    <w:rsid w:val="00360F21"/>
    <w:rsid w:val="00365CE3"/>
    <w:rsid w:val="0037304F"/>
    <w:rsid w:val="00381366"/>
    <w:rsid w:val="00381402"/>
    <w:rsid w:val="00381DF1"/>
    <w:rsid w:val="003832DC"/>
    <w:rsid w:val="003839A2"/>
    <w:rsid w:val="003927FE"/>
    <w:rsid w:val="0039350C"/>
    <w:rsid w:val="003B4571"/>
    <w:rsid w:val="003C20C1"/>
    <w:rsid w:val="003C52E5"/>
    <w:rsid w:val="003D0A7F"/>
    <w:rsid w:val="003D3921"/>
    <w:rsid w:val="003D6A66"/>
    <w:rsid w:val="003E05F9"/>
    <w:rsid w:val="003E23B7"/>
    <w:rsid w:val="00405239"/>
    <w:rsid w:val="004118B8"/>
    <w:rsid w:val="004127FC"/>
    <w:rsid w:val="0042384B"/>
    <w:rsid w:val="00427B45"/>
    <w:rsid w:val="00435DB0"/>
    <w:rsid w:val="004434C3"/>
    <w:rsid w:val="00445830"/>
    <w:rsid w:val="00447494"/>
    <w:rsid w:val="004535C2"/>
    <w:rsid w:val="0046610B"/>
    <w:rsid w:val="00467944"/>
    <w:rsid w:val="00472399"/>
    <w:rsid w:val="00485596"/>
    <w:rsid w:val="00486916"/>
    <w:rsid w:val="00494C5E"/>
    <w:rsid w:val="0049644D"/>
    <w:rsid w:val="004A22D8"/>
    <w:rsid w:val="004A33A7"/>
    <w:rsid w:val="004B3947"/>
    <w:rsid w:val="004B60AE"/>
    <w:rsid w:val="004B62A4"/>
    <w:rsid w:val="004B7502"/>
    <w:rsid w:val="004C5FA1"/>
    <w:rsid w:val="004D0521"/>
    <w:rsid w:val="004D3473"/>
    <w:rsid w:val="004E2D07"/>
    <w:rsid w:val="004E2EB1"/>
    <w:rsid w:val="004E6DE4"/>
    <w:rsid w:val="004F765B"/>
    <w:rsid w:val="00501C63"/>
    <w:rsid w:val="00503AA4"/>
    <w:rsid w:val="00503BD9"/>
    <w:rsid w:val="0050579A"/>
    <w:rsid w:val="0050663A"/>
    <w:rsid w:val="00537EBB"/>
    <w:rsid w:val="005402F2"/>
    <w:rsid w:val="00550CD1"/>
    <w:rsid w:val="005540D7"/>
    <w:rsid w:val="005569F1"/>
    <w:rsid w:val="00560253"/>
    <w:rsid w:val="00564489"/>
    <w:rsid w:val="0057395A"/>
    <w:rsid w:val="00592708"/>
    <w:rsid w:val="005A0F9E"/>
    <w:rsid w:val="005B7EBE"/>
    <w:rsid w:val="005C607C"/>
    <w:rsid w:val="005C69F5"/>
    <w:rsid w:val="005C7D2E"/>
    <w:rsid w:val="005D28EC"/>
    <w:rsid w:val="005F3640"/>
    <w:rsid w:val="005F72A2"/>
    <w:rsid w:val="00620AC5"/>
    <w:rsid w:val="006375B5"/>
    <w:rsid w:val="006459DE"/>
    <w:rsid w:val="00645CDB"/>
    <w:rsid w:val="00646DC0"/>
    <w:rsid w:val="00647825"/>
    <w:rsid w:val="006509FC"/>
    <w:rsid w:val="006711CD"/>
    <w:rsid w:val="00672CBD"/>
    <w:rsid w:val="00680463"/>
    <w:rsid w:val="00697828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6A7C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914C3"/>
    <w:rsid w:val="009939B3"/>
    <w:rsid w:val="009A1EF4"/>
    <w:rsid w:val="009A7A0A"/>
    <w:rsid w:val="009A7B54"/>
    <w:rsid w:val="009B17E6"/>
    <w:rsid w:val="009B4498"/>
    <w:rsid w:val="009C0329"/>
    <w:rsid w:val="009C174F"/>
    <w:rsid w:val="009C2D1F"/>
    <w:rsid w:val="009C47E6"/>
    <w:rsid w:val="009C7898"/>
    <w:rsid w:val="009D3F19"/>
    <w:rsid w:val="009D65EF"/>
    <w:rsid w:val="009E0166"/>
    <w:rsid w:val="009E5EC8"/>
    <w:rsid w:val="00A1002E"/>
    <w:rsid w:val="00A14E6B"/>
    <w:rsid w:val="00A17CAC"/>
    <w:rsid w:val="00A234F8"/>
    <w:rsid w:val="00A309D2"/>
    <w:rsid w:val="00A3556C"/>
    <w:rsid w:val="00A47A83"/>
    <w:rsid w:val="00A51D8D"/>
    <w:rsid w:val="00A5264D"/>
    <w:rsid w:val="00A64D71"/>
    <w:rsid w:val="00A723FE"/>
    <w:rsid w:val="00A75194"/>
    <w:rsid w:val="00A905CE"/>
    <w:rsid w:val="00A909D3"/>
    <w:rsid w:val="00A93752"/>
    <w:rsid w:val="00AC365A"/>
    <w:rsid w:val="00AC75E6"/>
    <w:rsid w:val="00AD1A34"/>
    <w:rsid w:val="00AD44BB"/>
    <w:rsid w:val="00AD5EE1"/>
    <w:rsid w:val="00AD7F46"/>
    <w:rsid w:val="00AE3D8D"/>
    <w:rsid w:val="00AE6862"/>
    <w:rsid w:val="00AF3461"/>
    <w:rsid w:val="00B001C3"/>
    <w:rsid w:val="00B0095F"/>
    <w:rsid w:val="00B0575A"/>
    <w:rsid w:val="00B06D00"/>
    <w:rsid w:val="00B2451A"/>
    <w:rsid w:val="00B26E9C"/>
    <w:rsid w:val="00B54E7E"/>
    <w:rsid w:val="00B60EB5"/>
    <w:rsid w:val="00B842AB"/>
    <w:rsid w:val="00B9093D"/>
    <w:rsid w:val="00B94847"/>
    <w:rsid w:val="00B96141"/>
    <w:rsid w:val="00B96846"/>
    <w:rsid w:val="00BB42EA"/>
    <w:rsid w:val="00BC36B1"/>
    <w:rsid w:val="00BD4223"/>
    <w:rsid w:val="00BE20E8"/>
    <w:rsid w:val="00BF47F0"/>
    <w:rsid w:val="00C03004"/>
    <w:rsid w:val="00C0498B"/>
    <w:rsid w:val="00C1320B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2425"/>
    <w:rsid w:val="00CD7D6A"/>
    <w:rsid w:val="00D04E93"/>
    <w:rsid w:val="00D052B9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547E"/>
    <w:rsid w:val="00E06283"/>
    <w:rsid w:val="00E104DA"/>
    <w:rsid w:val="00E26C1E"/>
    <w:rsid w:val="00E27823"/>
    <w:rsid w:val="00E31AA2"/>
    <w:rsid w:val="00E3708D"/>
    <w:rsid w:val="00E605FD"/>
    <w:rsid w:val="00E60CE9"/>
    <w:rsid w:val="00E7332F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3B51"/>
    <w:rsid w:val="00F01BF3"/>
    <w:rsid w:val="00F235CD"/>
    <w:rsid w:val="00F24FBF"/>
    <w:rsid w:val="00F35373"/>
    <w:rsid w:val="00F411BC"/>
    <w:rsid w:val="00F62EC4"/>
    <w:rsid w:val="00F670A6"/>
    <w:rsid w:val="00F705D7"/>
    <w:rsid w:val="00F84981"/>
    <w:rsid w:val="00FA1A3E"/>
    <w:rsid w:val="00FA4E24"/>
    <w:rsid w:val="00FB1803"/>
    <w:rsid w:val="00FB19FE"/>
    <w:rsid w:val="00FB3FB5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BFBA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5F14-3C2F-4E0D-9F71-A85F21F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8</cp:revision>
  <cp:lastPrinted>2018-09-19T06:37:00Z</cp:lastPrinted>
  <dcterms:created xsi:type="dcterms:W3CDTF">2021-07-20T12:24:00Z</dcterms:created>
  <dcterms:modified xsi:type="dcterms:W3CDTF">2021-07-22T07:08:00Z</dcterms:modified>
</cp:coreProperties>
</file>