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00" w:rsidRPr="00FF0E99" w:rsidRDefault="00187100" w:rsidP="00FF0E99">
      <w:pPr>
        <w:pStyle w:val="doctitle"/>
        <w:spacing w:before="0" w:after="0" w:line="360" w:lineRule="auto"/>
        <w:jc w:val="both"/>
        <w:rPr>
          <w:color w:val="FF0000"/>
          <w:sz w:val="28"/>
          <w:szCs w:val="28"/>
        </w:rPr>
      </w:pPr>
      <w:r w:rsidRPr="00FF0E99">
        <w:rPr>
          <w:color w:val="FF0000"/>
          <w:sz w:val="28"/>
          <w:szCs w:val="28"/>
        </w:rPr>
        <w:t>Bezpieczne przechowywanie odczynników chemicznych</w:t>
      </w:r>
    </w:p>
    <w:p w:rsidR="00187100" w:rsidRPr="00FF0E99" w:rsidRDefault="00187100" w:rsidP="00FF0E99">
      <w:pPr>
        <w:spacing w:line="360" w:lineRule="auto"/>
        <w:ind w:firstLine="709"/>
        <w:jc w:val="both"/>
        <w:rPr>
          <w:color w:val="000000"/>
        </w:rPr>
      </w:pPr>
      <w:r w:rsidRPr="00FF0E99">
        <w:rPr>
          <w:color w:val="000000"/>
        </w:rPr>
        <w:br/>
        <w:t>Substancje i preparaty stwarzające zagrożenie dla zdrowia człowieka i dla środowiska</w:t>
      </w:r>
      <w:r w:rsidR="00FF0E99">
        <w:rPr>
          <w:color w:val="000000"/>
        </w:rPr>
        <w:t xml:space="preserve"> </w:t>
      </w:r>
      <w:r w:rsidRPr="00FF0E99">
        <w:rPr>
          <w:color w:val="000000"/>
        </w:rPr>
        <w:t>przyrodniczego dopuszczane są do obrotu przez odpowiednie instytucje do tego celu uprawnione. W artykule wyszczególniono podstawowe zadania należące do tych instytucji. Podano sposoby właściwego przechowywania substancji i preparatów chemicznych w laboratorium. Zaprezentowano sposoby przechowywania odczynników wrażliwych na wilgoć, ulegających utlenieniu, wrażliwych na zanieczyszczenia powietrza i na</w:t>
      </w:r>
      <w:r w:rsidR="00FF0E99">
        <w:rPr>
          <w:color w:val="000000"/>
        </w:rPr>
        <w:t xml:space="preserve"> </w:t>
      </w:r>
      <w:r w:rsidRPr="00FF0E99">
        <w:rPr>
          <w:color w:val="000000"/>
        </w:rPr>
        <w:t xml:space="preserve">polimeryzację. </w:t>
      </w:r>
    </w:p>
    <w:p w:rsidR="00187100" w:rsidRPr="00FF0E99" w:rsidRDefault="000B65F1" w:rsidP="00FF0E99">
      <w:pPr>
        <w:spacing w:line="360" w:lineRule="auto"/>
        <w:jc w:val="both"/>
        <w:rPr>
          <w:vanish/>
          <w:color w:val="000000"/>
        </w:rPr>
      </w:pPr>
      <w:hyperlink r:id="rId5" w:history="1">
        <w:r w:rsidR="00187100" w:rsidRPr="00FF0E99">
          <w:rPr>
            <w:rStyle w:val="Hipercze"/>
            <w:vanish/>
            <w:sz w:val="24"/>
            <w:szCs w:val="24"/>
          </w:rPr>
          <w:t>[Spis treści]</w:t>
        </w:r>
      </w:hyperlink>
      <w:r w:rsidR="00187100" w:rsidRPr="00FF0E99">
        <w:rPr>
          <w:vanish/>
          <w:color w:val="000000"/>
        </w:rPr>
        <w:t xml:space="preserve"> </w:t>
      </w:r>
    </w:p>
    <w:p w:rsidR="00187100" w:rsidRPr="00FF0E99" w:rsidRDefault="00187100" w:rsidP="00FF0E99">
      <w:pPr>
        <w:spacing w:line="360" w:lineRule="auto"/>
        <w:jc w:val="both"/>
        <w:rPr>
          <w:color w:val="000000"/>
        </w:rPr>
      </w:pPr>
    </w:p>
    <w:tbl>
      <w:tblPr>
        <w:tblW w:w="5000" w:type="pct"/>
        <w:tblCellSpacing w:w="0" w:type="dxa"/>
        <w:tblCellMar>
          <w:left w:w="0" w:type="dxa"/>
          <w:right w:w="0" w:type="dxa"/>
        </w:tblCellMar>
        <w:tblLook w:val="0000" w:firstRow="0" w:lastRow="0" w:firstColumn="0" w:lastColumn="0" w:noHBand="0" w:noVBand="0"/>
      </w:tblPr>
      <w:tblGrid>
        <w:gridCol w:w="9072"/>
      </w:tblGrid>
      <w:tr w:rsidR="00187100" w:rsidRPr="00FF0E99">
        <w:trPr>
          <w:tblCellSpacing w:w="0" w:type="dxa"/>
        </w:trPr>
        <w:tc>
          <w:tcPr>
            <w:tcW w:w="0" w:type="auto"/>
            <w:tcBorders>
              <w:top w:val="nil"/>
              <w:left w:val="nil"/>
              <w:bottom w:val="nil"/>
              <w:right w:val="nil"/>
            </w:tcBorders>
            <w:vAlign w:val="center"/>
          </w:tcPr>
          <w:p w:rsidR="00187100" w:rsidRPr="00FF0E99" w:rsidRDefault="00187100" w:rsidP="00FF0E99">
            <w:pPr>
              <w:pStyle w:val="NormalnyWeb"/>
              <w:spacing w:before="0" w:after="0" w:line="360" w:lineRule="auto"/>
              <w:jc w:val="both"/>
              <w:rPr>
                <w:color w:val="000000"/>
              </w:rPr>
            </w:pPr>
            <w:r w:rsidRPr="00FF0E99">
              <w:rPr>
                <w:color w:val="000000"/>
              </w:rPr>
              <w:t>Praca w laboratorium chemicznym wiąże się z niebezpieczeństwami wynikającymi ze</w:t>
            </w:r>
            <w:r w:rsidR="00FF0E99">
              <w:rPr>
                <w:color w:val="000000"/>
              </w:rPr>
              <w:t xml:space="preserve"> </w:t>
            </w:r>
            <w:r w:rsidRPr="00FF0E99">
              <w:rPr>
                <w:color w:val="000000"/>
              </w:rPr>
              <w:t xml:space="preserve">stosowania substancji chemicznych o właściwościach łatwopalnych, wybuchowych, toksycznych, żrących, związków chemicznych działających szkodliwie na skórę a także drogi oddechowe. Kontrola procesów i reakcji chemicznych, w których stosuje się niebezpieczne dla zdrowia substancje chemiczne wymaga szczegółowych wiadomości na temat możliwych zagrożeń dla człowieka, w celu uniknięcia w praktyce wielu groźnych sytuacji. Istotne jest też zagrożenie dla środowiska naturalnego, wynikające z niewłaściwego postępowania i przechowywania substancji szkodliwych, w tym także obchodzenia się z wszelkiego rodzaju odpadami i ich przechowywania. Niebezpieczeństwa te można zredukować i uniknąć wypadków, poprzez właściwą organizację pracy i przestrzeganie zasad bezpiecznej pracy w laboratorium. </w:t>
            </w:r>
          </w:p>
          <w:p w:rsidR="00187100" w:rsidRPr="00FF0E99" w:rsidRDefault="00187100" w:rsidP="00FF0E99">
            <w:pPr>
              <w:pStyle w:val="NormalnyWeb"/>
              <w:spacing w:before="0" w:after="0" w:line="360" w:lineRule="auto"/>
              <w:jc w:val="both"/>
              <w:rPr>
                <w:color w:val="000000"/>
              </w:rPr>
            </w:pPr>
            <w:r w:rsidRPr="00FF0E99">
              <w:rPr>
                <w:color w:val="000000"/>
              </w:rPr>
              <w:t xml:space="preserve">Nie ma substancji chemicznych w pełni bezpiecznych dla ludzi i środowiska naturalnego, nie można również całkowicie wyeliminować wszystkich zagrożeń związanych z ich stosowaniem. Substancje i preparaty stwarzające zagrożenie dla zdrowia człowieka lub środowiska przyrodniczego dopuszcza się do obrotu w Polsce przez Inspektora do Spraw Substancji i Preparatów Chemicznych. Do zadań inspektora należy między innymi: </w:t>
            </w:r>
          </w:p>
          <w:p w:rsidR="00187100" w:rsidRPr="00FF0E99" w:rsidRDefault="00187100" w:rsidP="00FF0E99">
            <w:pPr>
              <w:numPr>
                <w:ilvl w:val="0"/>
                <w:numId w:val="3"/>
              </w:numPr>
              <w:spacing w:line="360" w:lineRule="auto"/>
              <w:jc w:val="both"/>
              <w:rPr>
                <w:color w:val="000000"/>
              </w:rPr>
            </w:pPr>
            <w:r w:rsidRPr="00FF0E99">
              <w:rPr>
                <w:color w:val="000000"/>
              </w:rPr>
              <w:t xml:space="preserve">przyjmowanie zgłoszeń substancji nowych w celu oceny stwarzanego przez nie ryzyka. </w:t>
            </w:r>
          </w:p>
          <w:p w:rsidR="00187100" w:rsidRPr="00FF0E99" w:rsidRDefault="00187100" w:rsidP="00FF0E99">
            <w:pPr>
              <w:numPr>
                <w:ilvl w:val="0"/>
                <w:numId w:val="3"/>
              </w:numPr>
              <w:spacing w:line="360" w:lineRule="auto"/>
              <w:jc w:val="both"/>
              <w:rPr>
                <w:color w:val="000000"/>
              </w:rPr>
            </w:pPr>
            <w:r w:rsidRPr="00FF0E99">
              <w:rPr>
                <w:color w:val="000000"/>
              </w:rPr>
              <w:t xml:space="preserve">gromadzenie danych dotyczących niebezpiecznych substancji i preparatów </w:t>
            </w:r>
          </w:p>
          <w:p w:rsidR="00187100" w:rsidRPr="00FF0E99" w:rsidRDefault="00187100" w:rsidP="00FF0E99">
            <w:pPr>
              <w:numPr>
                <w:ilvl w:val="0"/>
                <w:numId w:val="3"/>
              </w:numPr>
              <w:spacing w:line="360" w:lineRule="auto"/>
              <w:jc w:val="both"/>
              <w:rPr>
                <w:color w:val="000000"/>
              </w:rPr>
            </w:pPr>
            <w:r w:rsidRPr="00FF0E99">
              <w:rPr>
                <w:color w:val="000000"/>
              </w:rPr>
              <w:t xml:space="preserve">udostępnianie danych dotyczących niebezpiecznych substancji i preparatów służbom medycznym i ratowniczym </w:t>
            </w:r>
          </w:p>
          <w:p w:rsidR="00187100" w:rsidRPr="00FF0E99" w:rsidRDefault="00187100" w:rsidP="00FF0E99">
            <w:pPr>
              <w:numPr>
                <w:ilvl w:val="0"/>
                <w:numId w:val="3"/>
              </w:numPr>
              <w:spacing w:line="360" w:lineRule="auto"/>
              <w:jc w:val="both"/>
              <w:rPr>
                <w:color w:val="000000"/>
              </w:rPr>
            </w:pPr>
            <w:r w:rsidRPr="00FF0E99">
              <w:rPr>
                <w:color w:val="000000"/>
              </w:rPr>
              <w:t xml:space="preserve">wymiana informacji z właściwymi organami innych państw na temat substancji nowych, </w:t>
            </w:r>
          </w:p>
          <w:p w:rsidR="00CE4C9C" w:rsidRPr="00FF0E99" w:rsidRDefault="00187100" w:rsidP="00FF0E99">
            <w:pPr>
              <w:numPr>
                <w:ilvl w:val="0"/>
                <w:numId w:val="3"/>
              </w:numPr>
              <w:spacing w:line="360" w:lineRule="auto"/>
              <w:jc w:val="both"/>
              <w:rPr>
                <w:color w:val="000000"/>
              </w:rPr>
            </w:pPr>
            <w:r w:rsidRPr="00FF0E99">
              <w:rPr>
                <w:color w:val="000000"/>
              </w:rPr>
              <w:t xml:space="preserve">współpraca z międzynarodowymi organizacjami dotycząca uzupełniania informacji o substancjach i preparatach chemicznych. </w:t>
            </w:r>
          </w:p>
          <w:p w:rsidR="00CE4C9C" w:rsidRPr="00FF0E99" w:rsidRDefault="00CE4C9C" w:rsidP="00FF0E99">
            <w:pPr>
              <w:spacing w:line="360" w:lineRule="auto"/>
              <w:jc w:val="both"/>
              <w:rPr>
                <w:color w:val="000000"/>
              </w:rPr>
            </w:pPr>
          </w:p>
          <w:p w:rsidR="00187100" w:rsidRPr="00FF0E99" w:rsidRDefault="00187100" w:rsidP="00FF0E99">
            <w:pPr>
              <w:pStyle w:val="NormalnyWeb"/>
              <w:spacing w:before="0" w:after="0" w:line="360" w:lineRule="auto"/>
              <w:jc w:val="both"/>
              <w:rPr>
                <w:color w:val="000000"/>
              </w:rPr>
            </w:pPr>
            <w:r w:rsidRPr="00FF0E99">
              <w:rPr>
                <w:color w:val="000000"/>
              </w:rPr>
              <w:t xml:space="preserve">Bardzo ważnym zagadnieniem jest właściwe przechowywanie substancji i preparatów chemicznych w laboratorium, zanim zostaną one użyte do przeprowadzenia odpowiednich reakcji chemicznych. </w:t>
            </w:r>
          </w:p>
          <w:p w:rsidR="00CE4C9C" w:rsidRPr="00FF0E99" w:rsidRDefault="00187100" w:rsidP="00FF0E99">
            <w:pPr>
              <w:pStyle w:val="NormalnyWeb"/>
              <w:spacing w:before="0" w:after="0" w:line="360" w:lineRule="auto"/>
              <w:jc w:val="both"/>
              <w:rPr>
                <w:color w:val="000000"/>
              </w:rPr>
            </w:pPr>
            <w:r w:rsidRPr="00FF0E99">
              <w:rPr>
                <w:color w:val="000000"/>
              </w:rPr>
              <w:t>Większość odczynników chemicznych może być bezpiecznie przechowywana w suchych, chłodnych, dobrze wentylowanych pomieszczeniach z dala od bezpośredniego źródła światła. Niektóre ze związków chemicznych wymagają jednak specjalnych warunków.</w:t>
            </w:r>
          </w:p>
          <w:p w:rsidR="00CE4C9C" w:rsidRPr="00FF0E99" w:rsidRDefault="00CE4C9C" w:rsidP="00FF0E99">
            <w:pPr>
              <w:pStyle w:val="NormalnyWeb"/>
              <w:spacing w:before="0" w:after="0" w:line="360" w:lineRule="auto"/>
              <w:jc w:val="both"/>
              <w:rPr>
                <w:color w:val="000000"/>
              </w:rPr>
            </w:pPr>
          </w:p>
          <w:p w:rsidR="00187100" w:rsidRPr="00FF0E99" w:rsidRDefault="00187100" w:rsidP="00FF0E99">
            <w:pPr>
              <w:pStyle w:val="NormalnyWeb"/>
              <w:spacing w:before="0" w:after="0" w:line="360" w:lineRule="auto"/>
              <w:jc w:val="both"/>
              <w:rPr>
                <w:color w:val="000000"/>
              </w:rPr>
            </w:pPr>
            <w:r w:rsidRPr="00FF0E99">
              <w:rPr>
                <w:rStyle w:val="Pogrubienie"/>
                <w:color w:val="000000"/>
              </w:rPr>
              <w:t>Odczynniki wrażliwe na wilgoć</w:t>
            </w:r>
          </w:p>
          <w:p w:rsidR="00187100" w:rsidRDefault="00187100" w:rsidP="00FF0E99">
            <w:pPr>
              <w:pStyle w:val="NormalnyWeb"/>
              <w:spacing w:before="0" w:after="0" w:line="360" w:lineRule="auto"/>
              <w:jc w:val="both"/>
              <w:rPr>
                <w:color w:val="000000"/>
              </w:rPr>
            </w:pPr>
            <w:r w:rsidRPr="00FF0E99">
              <w:rPr>
                <w:color w:val="000000"/>
              </w:rPr>
              <w:t xml:space="preserve">Lit, sód, potas oraz wodorotlenki metali alkalicznych są wrażliwe na wilgoć. Wrażliwe są także wodorki metali, na przykład wodorek </w:t>
            </w:r>
            <w:proofErr w:type="spellStart"/>
            <w:r w:rsidRPr="00FF0E99">
              <w:rPr>
                <w:color w:val="000000"/>
              </w:rPr>
              <w:t>litowo</w:t>
            </w:r>
            <w:proofErr w:type="spellEnd"/>
            <w:r w:rsidRPr="00FF0E99">
              <w:rPr>
                <w:color w:val="000000"/>
              </w:rPr>
              <w:t xml:space="preserve">-glinowy. Metale alkaliczne oraz wodorki metali mogą w zetknięciu z parą wodną wytwarzać wodór. </w:t>
            </w:r>
          </w:p>
          <w:p w:rsidR="00FF0E99" w:rsidRPr="00FF0E99" w:rsidRDefault="00FF0E99" w:rsidP="00FF0E99">
            <w:pPr>
              <w:pStyle w:val="NormalnyWeb"/>
              <w:spacing w:before="0" w:after="0" w:line="360" w:lineRule="auto"/>
              <w:jc w:val="both"/>
              <w:rPr>
                <w:color w:val="000000"/>
              </w:rPr>
            </w:pP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4523"/>
              <w:gridCol w:w="26"/>
              <w:gridCol w:w="4523"/>
            </w:tblGrid>
            <w:tr w:rsidR="00187100" w:rsidRPr="00FF0E99">
              <w:trPr>
                <w:tblCellSpacing w:w="7" w:type="dxa"/>
              </w:trPr>
              <w:tc>
                <w:tcPr>
                  <w:tcW w:w="0" w:type="auto"/>
                  <w:tcBorders>
                    <w:top w:val="nil"/>
                    <w:left w:val="nil"/>
                    <w:bottom w:val="nil"/>
                    <w:right w:val="nil"/>
                  </w:tcBorders>
                  <w:tcMar>
                    <w:top w:w="0" w:type="dxa"/>
                    <w:left w:w="0" w:type="dxa"/>
                    <w:bottom w:w="0" w:type="dxa"/>
                    <w:right w:w="0" w:type="dxa"/>
                  </w:tcMar>
                  <w:vAlign w:val="center"/>
                </w:tcPr>
                <w:p w:rsidR="00187100" w:rsidRPr="00FF0E99" w:rsidRDefault="00FF0E99" w:rsidP="00FF0E99">
                  <w:pPr>
                    <w:pStyle w:val="NormalnyWeb"/>
                    <w:spacing w:before="0" w:after="0" w:line="360" w:lineRule="auto"/>
                    <w:jc w:val="both"/>
                    <w:rPr>
                      <w:color w:val="000000"/>
                    </w:rPr>
                  </w:pPr>
                  <w:r w:rsidRPr="00FF0E99">
                    <w:rPr>
                      <w:noProof/>
                      <w:color w:val="000000"/>
                    </w:rPr>
                    <w:drawing>
                      <wp:inline distT="0" distB="0" distL="0" distR="0">
                        <wp:extent cx="1432560" cy="1554480"/>
                        <wp:effectExtent l="0" t="0" r="0" b="7620"/>
                        <wp:docPr id="2" name="Obraz 2" descr="eksykator zwyk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ykator zwykł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55448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tcPr>
                <w:p w:rsidR="00187100" w:rsidRPr="00FF0E99" w:rsidRDefault="00187100" w:rsidP="00FF0E99">
                  <w:pPr>
                    <w:spacing w:line="360" w:lineRule="auto"/>
                    <w:jc w:val="both"/>
                    <w:rPr>
                      <w:color w:val="000000"/>
                    </w:rPr>
                  </w:pPr>
                </w:p>
              </w:tc>
              <w:tc>
                <w:tcPr>
                  <w:tcW w:w="0" w:type="auto"/>
                  <w:tcBorders>
                    <w:top w:val="nil"/>
                    <w:left w:val="nil"/>
                    <w:bottom w:val="nil"/>
                    <w:right w:val="nil"/>
                  </w:tcBorders>
                  <w:tcMar>
                    <w:top w:w="0" w:type="dxa"/>
                    <w:left w:w="0" w:type="dxa"/>
                    <w:bottom w:w="0" w:type="dxa"/>
                    <w:right w:w="0" w:type="dxa"/>
                  </w:tcMar>
                  <w:vAlign w:val="center"/>
                </w:tcPr>
                <w:p w:rsidR="00187100" w:rsidRPr="00FF0E99" w:rsidRDefault="00FF0E99" w:rsidP="00FF0E99">
                  <w:pPr>
                    <w:pStyle w:val="NormalnyWeb"/>
                    <w:spacing w:before="0" w:after="0" w:line="360" w:lineRule="auto"/>
                    <w:jc w:val="both"/>
                    <w:rPr>
                      <w:color w:val="000000"/>
                    </w:rPr>
                  </w:pPr>
                  <w:r w:rsidRPr="00FF0E99">
                    <w:rPr>
                      <w:noProof/>
                      <w:color w:val="000000"/>
                    </w:rPr>
                    <w:drawing>
                      <wp:inline distT="0" distB="0" distL="0" distR="0">
                        <wp:extent cx="1432560" cy="1554480"/>
                        <wp:effectExtent l="0" t="0" r="0" b="7620"/>
                        <wp:docPr id="3" name="Obraz 3" descr="eksykator próżni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sykator próżniow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554480"/>
                                </a:xfrm>
                                <a:prstGeom prst="rect">
                                  <a:avLst/>
                                </a:prstGeom>
                                <a:noFill/>
                                <a:ln>
                                  <a:noFill/>
                                </a:ln>
                              </pic:spPr>
                            </pic:pic>
                          </a:graphicData>
                        </a:graphic>
                      </wp:inline>
                    </w:drawing>
                  </w:r>
                </w:p>
              </w:tc>
            </w:tr>
            <w:tr w:rsidR="00187100" w:rsidRPr="00FF0E99">
              <w:trPr>
                <w:tblCellSpacing w:w="7" w:type="dxa"/>
              </w:trPr>
              <w:tc>
                <w:tcPr>
                  <w:tcW w:w="0" w:type="auto"/>
                  <w:gridSpan w:val="3"/>
                  <w:tcBorders>
                    <w:top w:val="nil"/>
                    <w:left w:val="nil"/>
                    <w:bottom w:val="nil"/>
                    <w:right w:val="nil"/>
                  </w:tcBorders>
                  <w:tcMar>
                    <w:top w:w="0" w:type="dxa"/>
                    <w:left w:w="0" w:type="dxa"/>
                    <w:bottom w:w="0" w:type="dxa"/>
                    <w:right w:w="0" w:type="dxa"/>
                  </w:tcMar>
                  <w:vAlign w:val="center"/>
                </w:tcPr>
                <w:p w:rsidR="00FF0E99" w:rsidRDefault="00FF0E99" w:rsidP="00FF0E99">
                  <w:pPr>
                    <w:pStyle w:val="NormalnyWeb"/>
                    <w:spacing w:before="0" w:after="0" w:line="360" w:lineRule="auto"/>
                    <w:jc w:val="both"/>
                    <w:rPr>
                      <w:rStyle w:val="Uwydatnienie"/>
                      <w:color w:val="000000"/>
                    </w:rPr>
                  </w:pPr>
                </w:p>
                <w:p w:rsidR="00187100" w:rsidRPr="00FF0E99" w:rsidRDefault="00187100" w:rsidP="00FF0E99">
                  <w:pPr>
                    <w:pStyle w:val="NormalnyWeb"/>
                    <w:spacing w:before="0" w:after="0" w:line="360" w:lineRule="auto"/>
                    <w:jc w:val="both"/>
                    <w:rPr>
                      <w:color w:val="000000"/>
                    </w:rPr>
                  </w:pPr>
                  <w:r w:rsidRPr="00FF0E99">
                    <w:rPr>
                      <w:rStyle w:val="Uwydatnienie"/>
                      <w:color w:val="000000"/>
                    </w:rPr>
                    <w:t>Eksykatory: zwykły i próżniowy do przechowywania substancji wrażliwych na wilgoć</w:t>
                  </w:r>
                  <w:r w:rsidRPr="00FF0E99">
                    <w:rPr>
                      <w:i/>
                      <w:iCs/>
                      <w:color w:val="000000"/>
                    </w:rPr>
                    <w:br/>
                  </w:r>
                  <w:r w:rsidRPr="00FF0E99">
                    <w:rPr>
                      <w:rStyle w:val="Uwydatnienie"/>
                      <w:color w:val="000000"/>
                    </w:rPr>
                    <w:t>w warunkach laboratoryjnych</w:t>
                  </w:r>
                </w:p>
              </w:tc>
            </w:tr>
          </w:tbl>
          <w:p w:rsidR="00CE4C9C" w:rsidRPr="00FF0E99" w:rsidRDefault="00CE4C9C" w:rsidP="00FF0E99">
            <w:pPr>
              <w:pStyle w:val="NormalnyWeb"/>
              <w:spacing w:before="0" w:after="0" w:line="360" w:lineRule="auto"/>
              <w:jc w:val="both"/>
              <w:rPr>
                <w:color w:val="000000"/>
              </w:rPr>
            </w:pPr>
          </w:p>
          <w:p w:rsidR="00CE4C9C" w:rsidRPr="00FF0E99" w:rsidRDefault="00187100" w:rsidP="00FF0E99">
            <w:pPr>
              <w:pStyle w:val="NormalnyWeb"/>
              <w:spacing w:before="0" w:after="0" w:line="360" w:lineRule="auto"/>
              <w:jc w:val="both"/>
              <w:rPr>
                <w:rStyle w:val="Pogrubienie"/>
                <w:color w:val="000000"/>
              </w:rPr>
            </w:pPr>
            <w:r w:rsidRPr="00FF0E99">
              <w:rPr>
                <w:color w:val="000000"/>
              </w:rPr>
              <w:t xml:space="preserve">Są one oznaczane symbolem R15 co oznacza: "Kontakt z wodą powoduje wydzielanie łatwopalnych gazów". Dlatego też wszystkie tego typu odczynniki transportowane są w zatopionych naczyniach polietylenowych oraz wodoodpornych metalowych kontenerach. W laboratorium raz otwarte naczynie powinno być przechowywane w eksykatorze. Do odczynników wrażliwych na wilgoć należy także tlenek fosforu(V). </w:t>
            </w:r>
          </w:p>
          <w:p w:rsidR="00CE4C9C" w:rsidRPr="00FF0E99" w:rsidRDefault="00CE4C9C" w:rsidP="00FF0E99">
            <w:pPr>
              <w:pStyle w:val="NormalnyWeb"/>
              <w:spacing w:before="0" w:after="0" w:line="360" w:lineRule="auto"/>
              <w:jc w:val="both"/>
              <w:rPr>
                <w:rStyle w:val="Pogrubienie"/>
                <w:color w:val="000000"/>
              </w:rPr>
            </w:pPr>
          </w:p>
          <w:p w:rsidR="00CE4C9C" w:rsidRPr="00FF0E99" w:rsidRDefault="00CE4C9C" w:rsidP="00FF0E99">
            <w:pPr>
              <w:pStyle w:val="NormalnyWeb"/>
              <w:spacing w:before="0" w:after="0" w:line="360" w:lineRule="auto"/>
              <w:jc w:val="both"/>
              <w:rPr>
                <w:rStyle w:val="Pogrubienie"/>
                <w:color w:val="000000"/>
              </w:rPr>
            </w:pPr>
          </w:p>
          <w:p w:rsidR="00CE4C9C" w:rsidRDefault="00CE4C9C" w:rsidP="00FF0E99">
            <w:pPr>
              <w:pStyle w:val="NormalnyWeb"/>
              <w:spacing w:before="0" w:after="0" w:line="360" w:lineRule="auto"/>
              <w:jc w:val="both"/>
              <w:rPr>
                <w:rStyle w:val="Pogrubienie"/>
                <w:color w:val="000000"/>
              </w:rPr>
            </w:pPr>
          </w:p>
          <w:p w:rsidR="000B65F1" w:rsidRDefault="000B65F1" w:rsidP="00FF0E99">
            <w:pPr>
              <w:pStyle w:val="NormalnyWeb"/>
              <w:spacing w:before="0" w:after="0" w:line="360" w:lineRule="auto"/>
              <w:jc w:val="both"/>
              <w:rPr>
                <w:rStyle w:val="Pogrubienie"/>
                <w:color w:val="000000"/>
              </w:rPr>
            </w:pPr>
          </w:p>
          <w:p w:rsidR="000B65F1" w:rsidRDefault="000B65F1" w:rsidP="00FF0E99">
            <w:pPr>
              <w:pStyle w:val="NormalnyWeb"/>
              <w:spacing w:before="0" w:after="0" w:line="360" w:lineRule="auto"/>
              <w:jc w:val="both"/>
              <w:rPr>
                <w:rStyle w:val="Pogrubienie"/>
                <w:color w:val="000000"/>
              </w:rPr>
            </w:pPr>
          </w:p>
          <w:p w:rsidR="00187100" w:rsidRPr="00FF0E99" w:rsidRDefault="00187100" w:rsidP="00FF0E99">
            <w:pPr>
              <w:pStyle w:val="NormalnyWeb"/>
              <w:spacing w:before="0" w:after="0" w:line="360" w:lineRule="auto"/>
              <w:jc w:val="both"/>
              <w:rPr>
                <w:color w:val="000000"/>
              </w:rPr>
            </w:pPr>
            <w:r w:rsidRPr="00FF0E99">
              <w:rPr>
                <w:rStyle w:val="Pogrubienie"/>
                <w:color w:val="000000"/>
              </w:rPr>
              <w:lastRenderedPageBreak/>
              <w:t>Odczynniki ulegające utlenieniu</w:t>
            </w:r>
          </w:p>
          <w:p w:rsidR="00187100" w:rsidRDefault="00187100" w:rsidP="00FF0E99">
            <w:pPr>
              <w:pStyle w:val="NormalnyWeb"/>
              <w:spacing w:before="0" w:after="0" w:line="360" w:lineRule="auto"/>
              <w:jc w:val="both"/>
              <w:rPr>
                <w:color w:val="000000"/>
              </w:rPr>
            </w:pPr>
            <w:r w:rsidRPr="00FF0E99">
              <w:rPr>
                <w:color w:val="000000"/>
              </w:rPr>
              <w:t xml:space="preserve">Niektóre związki chemiczne mimo przechowywania w zamkniętych naczyniach mogą wchodzić w reakcję z tlenem atmosferycznym na skutek wielokrotnego odkrywania. </w:t>
            </w:r>
          </w:p>
          <w:p w:rsidR="00FF0E99" w:rsidRPr="00FF0E99" w:rsidRDefault="00FF0E99" w:rsidP="00FF0E99">
            <w:pPr>
              <w:pStyle w:val="NormalnyWeb"/>
              <w:spacing w:before="0" w:after="0" w:line="360" w:lineRule="auto"/>
              <w:jc w:val="both"/>
              <w:rPr>
                <w:color w:val="000000"/>
              </w:rPr>
            </w:pPr>
          </w:p>
          <w:tbl>
            <w:tblPr>
              <w:tblpPr w:leftFromText="45" w:rightFromText="45" w:vertAnchor="text" w:tblpXSpec="right" w:tblpYSpec="center"/>
              <w:tblW w:w="1569" w:type="pct"/>
              <w:tblCellSpacing w:w="7" w:type="dxa"/>
              <w:tblCellMar>
                <w:top w:w="15" w:type="dxa"/>
                <w:left w:w="15" w:type="dxa"/>
                <w:bottom w:w="15" w:type="dxa"/>
                <w:right w:w="15" w:type="dxa"/>
              </w:tblCellMar>
              <w:tblLook w:val="0000" w:firstRow="0" w:lastRow="0" w:firstColumn="0" w:lastColumn="0" w:noHBand="0" w:noVBand="0"/>
            </w:tblPr>
            <w:tblGrid>
              <w:gridCol w:w="3784"/>
            </w:tblGrid>
            <w:tr w:rsidR="00187100" w:rsidRPr="00FF0E99">
              <w:trPr>
                <w:tblCellSpacing w:w="7" w:type="dxa"/>
              </w:trPr>
              <w:tc>
                <w:tcPr>
                  <w:tcW w:w="0" w:type="auto"/>
                  <w:tcBorders>
                    <w:top w:val="nil"/>
                    <w:left w:val="nil"/>
                    <w:bottom w:val="nil"/>
                    <w:right w:val="nil"/>
                  </w:tcBorders>
                  <w:tcMar>
                    <w:top w:w="0" w:type="dxa"/>
                    <w:left w:w="0" w:type="dxa"/>
                    <w:bottom w:w="0" w:type="dxa"/>
                    <w:right w:w="0" w:type="dxa"/>
                  </w:tcMar>
                  <w:vAlign w:val="center"/>
                </w:tcPr>
                <w:p w:rsidR="00187100" w:rsidRPr="00FF0E99" w:rsidRDefault="00FF0E99" w:rsidP="00FF0E99">
                  <w:pPr>
                    <w:spacing w:line="360" w:lineRule="auto"/>
                    <w:jc w:val="both"/>
                    <w:rPr>
                      <w:color w:val="000000"/>
                    </w:rPr>
                  </w:pPr>
                  <w:r w:rsidRPr="00FF0E99">
                    <w:rPr>
                      <w:noProof/>
                      <w:color w:val="000000"/>
                    </w:rPr>
                    <w:drawing>
                      <wp:inline distT="0" distB="0" distL="0" distR="0">
                        <wp:extent cx="2385060" cy="2049780"/>
                        <wp:effectExtent l="0" t="0" r="0" b="7620"/>
                        <wp:docPr id="4" name="Obraz 4" descr="opak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akow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2049780"/>
                                </a:xfrm>
                                <a:prstGeom prst="rect">
                                  <a:avLst/>
                                </a:prstGeom>
                                <a:noFill/>
                                <a:ln>
                                  <a:noFill/>
                                </a:ln>
                              </pic:spPr>
                            </pic:pic>
                          </a:graphicData>
                        </a:graphic>
                      </wp:inline>
                    </w:drawing>
                  </w:r>
                </w:p>
              </w:tc>
            </w:tr>
            <w:tr w:rsidR="00187100" w:rsidRPr="00FF0E99">
              <w:trPr>
                <w:tblCellSpacing w:w="7" w:type="dxa"/>
              </w:trPr>
              <w:tc>
                <w:tcPr>
                  <w:tcW w:w="0" w:type="auto"/>
                  <w:tcBorders>
                    <w:top w:val="nil"/>
                    <w:left w:val="nil"/>
                    <w:bottom w:val="nil"/>
                    <w:right w:val="nil"/>
                  </w:tcBorders>
                  <w:tcMar>
                    <w:top w:w="0" w:type="dxa"/>
                    <w:left w:w="0" w:type="dxa"/>
                    <w:bottom w:w="0" w:type="dxa"/>
                    <w:right w:w="0" w:type="dxa"/>
                  </w:tcMar>
                  <w:vAlign w:val="center"/>
                </w:tcPr>
                <w:p w:rsidR="00187100" w:rsidRPr="00FF0E99" w:rsidRDefault="00187100" w:rsidP="00FF0E99">
                  <w:pPr>
                    <w:pStyle w:val="NormalnyWeb"/>
                    <w:spacing w:before="0" w:after="0" w:line="360" w:lineRule="auto"/>
                    <w:jc w:val="center"/>
                    <w:rPr>
                      <w:color w:val="000000"/>
                    </w:rPr>
                  </w:pPr>
                  <w:r w:rsidRPr="00FF0E99">
                    <w:rPr>
                      <w:rStyle w:val="Uwydatnienie"/>
                      <w:color w:val="000000"/>
                    </w:rPr>
                    <w:t>Opakowania szklane do przechowywania m.in. substancji łatwo utleniających się</w:t>
                  </w:r>
                </w:p>
              </w:tc>
            </w:tr>
            <w:tr w:rsidR="00187100" w:rsidRPr="00FF0E99" w:rsidTr="00FF0E99">
              <w:trPr>
                <w:trHeight w:val="61"/>
                <w:tblCellSpacing w:w="7" w:type="dxa"/>
              </w:trPr>
              <w:tc>
                <w:tcPr>
                  <w:tcW w:w="0" w:type="auto"/>
                  <w:tcBorders>
                    <w:top w:val="nil"/>
                    <w:left w:val="nil"/>
                    <w:bottom w:val="nil"/>
                    <w:right w:val="nil"/>
                  </w:tcBorders>
                  <w:tcMar>
                    <w:top w:w="0" w:type="dxa"/>
                    <w:left w:w="0" w:type="dxa"/>
                    <w:bottom w:w="0" w:type="dxa"/>
                    <w:right w:w="0" w:type="dxa"/>
                  </w:tcMar>
                  <w:vAlign w:val="center"/>
                </w:tcPr>
                <w:p w:rsidR="00187100" w:rsidRPr="00FF0E99" w:rsidRDefault="00187100" w:rsidP="00FF0E99">
                  <w:pPr>
                    <w:spacing w:line="360" w:lineRule="auto"/>
                    <w:jc w:val="both"/>
                    <w:rPr>
                      <w:color w:val="000000"/>
                    </w:rPr>
                  </w:pPr>
                </w:p>
              </w:tc>
            </w:tr>
          </w:tbl>
          <w:p w:rsidR="00187100" w:rsidRPr="00FF0E99" w:rsidRDefault="00187100" w:rsidP="00FF0E99">
            <w:pPr>
              <w:pStyle w:val="NormalnyWeb"/>
              <w:spacing w:before="0" w:after="0" w:line="360" w:lineRule="auto"/>
              <w:jc w:val="both"/>
              <w:rPr>
                <w:color w:val="000000"/>
              </w:rPr>
            </w:pPr>
            <w:r w:rsidRPr="00FF0E99">
              <w:rPr>
                <w:color w:val="000000"/>
              </w:rPr>
              <w:t>Do takich odczynników należą między innymi anilina oraz fenole. Powstające w wyniku utlenienia zabarwione produkty mogą być usunięte przez prostą destylację lub krystalizację.</w:t>
            </w:r>
          </w:p>
          <w:p w:rsidR="00187100" w:rsidRPr="00FF0E99" w:rsidRDefault="00187100" w:rsidP="00FF0E99">
            <w:pPr>
              <w:pStyle w:val="NormalnyWeb"/>
              <w:spacing w:before="0" w:after="0" w:line="360" w:lineRule="auto"/>
              <w:jc w:val="both"/>
              <w:rPr>
                <w:color w:val="000000"/>
              </w:rPr>
            </w:pPr>
            <w:r w:rsidRPr="00FF0E99">
              <w:rPr>
                <w:rStyle w:val="Pogrubienie"/>
                <w:color w:val="000000"/>
              </w:rPr>
              <w:t> </w:t>
            </w:r>
          </w:p>
          <w:p w:rsidR="00187100" w:rsidRPr="00FF0E99" w:rsidRDefault="00187100" w:rsidP="00FF0E99">
            <w:pPr>
              <w:pStyle w:val="NormalnyWeb"/>
              <w:spacing w:before="0" w:after="0" w:line="360" w:lineRule="auto"/>
              <w:jc w:val="both"/>
              <w:rPr>
                <w:color w:val="000000"/>
              </w:rPr>
            </w:pPr>
            <w:r w:rsidRPr="00FF0E99">
              <w:rPr>
                <w:rStyle w:val="Pogrubienie"/>
                <w:color w:val="000000"/>
              </w:rPr>
              <w:t xml:space="preserve">Odczynniki wrażliwe na zanieczyszczenia powietrza w </w:t>
            </w:r>
            <w:proofErr w:type="spellStart"/>
            <w:r w:rsidRPr="00FF0E99">
              <w:rPr>
                <w:rStyle w:val="Pogrubienie"/>
                <w:color w:val="000000"/>
              </w:rPr>
              <w:t>laboratoriu</w:t>
            </w:r>
            <w:proofErr w:type="spellEnd"/>
            <w:r w:rsidRPr="00FF0E99">
              <w:rPr>
                <w:rStyle w:val="Pogrubienie"/>
                <w:color w:val="000000"/>
              </w:rPr>
              <w:t xml:space="preserve"> m</w:t>
            </w:r>
          </w:p>
          <w:p w:rsidR="00187100" w:rsidRPr="00FF0E99" w:rsidRDefault="00187100" w:rsidP="00FF0E99">
            <w:pPr>
              <w:pStyle w:val="NormalnyWeb"/>
              <w:spacing w:before="0" w:after="0" w:line="360" w:lineRule="auto"/>
              <w:jc w:val="both"/>
              <w:rPr>
                <w:color w:val="000000"/>
              </w:rPr>
            </w:pPr>
            <w:r w:rsidRPr="00FF0E99">
              <w:rPr>
                <w:color w:val="000000"/>
              </w:rPr>
              <w:t>Produkty stanowiące bardzo dobre adsorbenty, takie jak żel krzemionkowy czy też płytki do chromatografii cienkowarstwowej, powinny być chronione przed atmosferą panującą w laboratorium. Tego typu materiały należy przechowywać w specjalnych pojemnikach, gdyż w przeciwnym razie</w:t>
            </w:r>
            <w:r w:rsidR="00FF0E99">
              <w:rPr>
                <w:color w:val="000000"/>
              </w:rPr>
              <w:t xml:space="preserve"> </w:t>
            </w:r>
            <w:r w:rsidRPr="00FF0E99">
              <w:rPr>
                <w:color w:val="000000"/>
              </w:rPr>
              <w:t>stopniowo tracą swą aktywność, co wpływa na ich zdolności separacyjne.</w:t>
            </w:r>
          </w:p>
          <w:p w:rsidR="00187100" w:rsidRPr="00FF0E99" w:rsidRDefault="00187100" w:rsidP="00FF0E99">
            <w:pPr>
              <w:pStyle w:val="NormalnyWeb"/>
              <w:spacing w:before="0" w:after="0" w:line="360" w:lineRule="auto"/>
              <w:jc w:val="both"/>
              <w:rPr>
                <w:color w:val="000000"/>
              </w:rPr>
            </w:pPr>
            <w:r w:rsidRPr="00FF0E99">
              <w:rPr>
                <w:color w:val="000000"/>
              </w:rPr>
              <w:t> </w:t>
            </w:r>
            <w:r w:rsidRPr="00FF0E99">
              <w:rPr>
                <w:rStyle w:val="Pogrubienie"/>
                <w:color w:val="000000"/>
              </w:rPr>
              <w:t>Odczynniki wrażliwe na polimeryzację</w:t>
            </w:r>
          </w:p>
          <w:p w:rsidR="00187100" w:rsidRPr="00FF0E99" w:rsidRDefault="00187100" w:rsidP="00FF0E99">
            <w:pPr>
              <w:pStyle w:val="NormalnyWeb"/>
              <w:spacing w:before="0" w:after="0" w:line="360" w:lineRule="auto"/>
              <w:jc w:val="both"/>
              <w:rPr>
                <w:color w:val="000000"/>
              </w:rPr>
            </w:pPr>
            <w:r w:rsidRPr="00FF0E99">
              <w:rPr>
                <w:color w:val="000000"/>
              </w:rPr>
              <w:t xml:space="preserve">Odczynniki typu akrylanów i </w:t>
            </w:r>
            <w:proofErr w:type="spellStart"/>
            <w:r w:rsidRPr="00FF0E99">
              <w:rPr>
                <w:color w:val="000000"/>
              </w:rPr>
              <w:t>metakrylanów</w:t>
            </w:r>
            <w:proofErr w:type="spellEnd"/>
            <w:r w:rsidRPr="00FF0E99">
              <w:rPr>
                <w:color w:val="000000"/>
              </w:rPr>
              <w:t xml:space="preserve"> są zwykle stabilizowane fenolowymi inaktywatorami rodników w celu zapobieżenia niepożądanej polimeryzacji. Przed użyciem odczynników stabilizatory mogą być usunięte poprzez ekstrakcję 1-5% wodnym roztworem wodorotlenku sodu. Innym przykładem związku ulegającego polimeryzacji jest wodny roztwór aldehydu mrówkowego - formaldehyd. Ponieważ </w:t>
            </w:r>
            <w:proofErr w:type="spellStart"/>
            <w:r w:rsidRPr="00FF0E99">
              <w:rPr>
                <w:color w:val="000000"/>
              </w:rPr>
              <w:t>paraformaldehyd</w:t>
            </w:r>
            <w:proofErr w:type="spellEnd"/>
            <w:r w:rsidRPr="00FF0E99">
              <w:rPr>
                <w:color w:val="000000"/>
              </w:rPr>
              <w:t xml:space="preserve"> tworzy się zwykle w przedziale temperatury od 15 do 20</w:t>
            </w:r>
            <w:r w:rsidRPr="00FF0E99">
              <w:rPr>
                <w:color w:val="000000"/>
                <w:vertAlign w:val="superscript"/>
              </w:rPr>
              <w:t>o</w:t>
            </w:r>
            <w:r w:rsidRPr="00FF0E99">
              <w:rPr>
                <w:color w:val="000000"/>
              </w:rPr>
              <w:t>C, przechowywanie w niskiej temperaturze zapobiega temu procesowi.</w:t>
            </w:r>
          </w:p>
          <w:p w:rsidR="00187100" w:rsidRPr="00FF0E99" w:rsidRDefault="00187100" w:rsidP="00FF0E99">
            <w:pPr>
              <w:pStyle w:val="NormalnyWeb"/>
              <w:spacing w:before="0" w:after="0" w:line="360" w:lineRule="auto"/>
              <w:jc w:val="both"/>
              <w:rPr>
                <w:color w:val="000000"/>
              </w:rPr>
            </w:pPr>
            <w:r w:rsidRPr="00FF0E99">
              <w:rPr>
                <w:color w:val="000000"/>
              </w:rPr>
              <w:t> </w:t>
            </w:r>
            <w:r w:rsidRPr="00FF0E99">
              <w:rPr>
                <w:rStyle w:val="Pogrubienie"/>
                <w:color w:val="000000"/>
              </w:rPr>
              <w:t>Odczynniki wrażliwe na temperaturę</w:t>
            </w:r>
          </w:p>
          <w:p w:rsidR="00187100" w:rsidRPr="00FF0E99" w:rsidRDefault="00187100" w:rsidP="00FF0E99">
            <w:pPr>
              <w:pStyle w:val="NormalnyWeb"/>
              <w:spacing w:before="0" w:after="0" w:line="360" w:lineRule="auto"/>
              <w:jc w:val="both"/>
              <w:rPr>
                <w:color w:val="000000"/>
              </w:rPr>
            </w:pPr>
            <w:r w:rsidRPr="00FF0E99">
              <w:rPr>
                <w:color w:val="000000"/>
              </w:rPr>
              <w:t xml:space="preserve">Niektóre produkty pochodzenia naturalnego lub ich syntetyczne analogi należy przechowywać w obniżonej temperaturze w celu zachowania aktywności biologicznej. Dotyczy to przede wszystkim enzymów i koenzymów, które łatwo tracą aktywność wraz ze wzrostem temperatury. Chłodzenie jest polecane nie tylko ze względu na stabilność niektórych odczynników, lecz także ze względu na stosunkowo wysoką prężność par (np. pentan, kwas </w:t>
            </w:r>
            <w:r w:rsidRPr="00FF0E99">
              <w:rPr>
                <w:color w:val="000000"/>
              </w:rPr>
              <w:lastRenderedPageBreak/>
              <w:t>mrówkowy). Niektóre firmy oznaczają na etykietach temperaturę, w której powinny być przechowywane.</w:t>
            </w:r>
          </w:p>
          <w:p w:rsidR="00187100" w:rsidRPr="00FF0E99" w:rsidRDefault="00187100" w:rsidP="00FF0E99">
            <w:pPr>
              <w:pStyle w:val="NormalnyWeb"/>
              <w:spacing w:before="0" w:after="0" w:line="360" w:lineRule="auto"/>
              <w:jc w:val="both"/>
              <w:rPr>
                <w:color w:val="000000"/>
              </w:rPr>
            </w:pPr>
            <w:r w:rsidRPr="00FF0E99">
              <w:rPr>
                <w:color w:val="000000"/>
              </w:rPr>
              <w:t> </w:t>
            </w:r>
            <w:r w:rsidRPr="00FF0E99">
              <w:rPr>
                <w:rStyle w:val="Pogrubienie"/>
                <w:color w:val="000000"/>
              </w:rPr>
              <w:t>Odczynniki o niskich temperaturach topnienia</w:t>
            </w:r>
          </w:p>
          <w:p w:rsidR="00187100" w:rsidRPr="00FF0E99" w:rsidRDefault="00187100" w:rsidP="00FF0E99">
            <w:pPr>
              <w:pStyle w:val="NormalnyWeb"/>
              <w:spacing w:before="0" w:after="0" w:line="360" w:lineRule="auto"/>
              <w:jc w:val="both"/>
              <w:rPr>
                <w:color w:val="000000"/>
              </w:rPr>
            </w:pPr>
            <w:r w:rsidRPr="00FF0E99">
              <w:rPr>
                <w:color w:val="000000"/>
              </w:rPr>
              <w:t xml:space="preserve">Przykładem tego rodzaju związków chemicznych jest benzen, który w temperaturze zero stopni Celsjusza jest substancją o stałym stanie skupienia. Fenol ma stan skupienia ciekły od temperatury czterdzieści stopni Celsjusza. W niektórych przypadkach takich jak, na przykład kwas </w:t>
            </w:r>
            <w:proofErr w:type="spellStart"/>
            <w:r w:rsidRPr="00FF0E99">
              <w:rPr>
                <w:color w:val="000000"/>
              </w:rPr>
              <w:t>bromooctowy</w:t>
            </w:r>
            <w:proofErr w:type="spellEnd"/>
            <w:r w:rsidRPr="00FF0E99">
              <w:rPr>
                <w:color w:val="000000"/>
              </w:rPr>
              <w:t xml:space="preserve"> lub </w:t>
            </w:r>
            <w:proofErr w:type="spellStart"/>
            <w:r w:rsidRPr="00FF0E99">
              <w:rPr>
                <w:color w:val="000000"/>
              </w:rPr>
              <w:t>dicykloheksylokarbodiimid</w:t>
            </w:r>
            <w:proofErr w:type="spellEnd"/>
            <w:r w:rsidRPr="00FF0E99">
              <w:rPr>
                <w:color w:val="000000"/>
              </w:rPr>
              <w:t xml:space="preserve">, przed przeniesieniem odczynnika do innego naczynia, należy go ogrzać w łaźni wodnej aż do stopnienia. </w:t>
            </w:r>
          </w:p>
          <w:p w:rsidR="00187100" w:rsidRPr="00FF0E99" w:rsidRDefault="00187100" w:rsidP="00FF0E99">
            <w:pPr>
              <w:pStyle w:val="NormalnyWeb"/>
              <w:spacing w:before="0" w:after="0" w:line="360" w:lineRule="auto"/>
              <w:jc w:val="both"/>
              <w:rPr>
                <w:color w:val="000000"/>
              </w:rPr>
            </w:pPr>
            <w:r w:rsidRPr="00FF0E99">
              <w:rPr>
                <w:rStyle w:val="Pogrubienie"/>
                <w:color w:val="000000"/>
              </w:rPr>
              <w:t> Sole zawierające wodę krystalizacyjną</w:t>
            </w:r>
          </w:p>
          <w:p w:rsidR="00187100" w:rsidRPr="00FF0E99" w:rsidRDefault="00187100" w:rsidP="00FF0E99">
            <w:pPr>
              <w:pStyle w:val="NormalnyWeb"/>
              <w:spacing w:before="0" w:after="0" w:line="360" w:lineRule="auto"/>
              <w:jc w:val="both"/>
              <w:rPr>
                <w:color w:val="000000"/>
              </w:rPr>
            </w:pPr>
            <w:r w:rsidRPr="00FF0E99">
              <w:rPr>
                <w:color w:val="000000"/>
              </w:rPr>
              <w:t>Sole krystaliczne czyli wodziany mogą łatwo oddawać wodę po ogrzaniu powyżej 35</w:t>
            </w:r>
            <w:r w:rsidRPr="00FF0E99">
              <w:rPr>
                <w:color w:val="000000"/>
                <w:vertAlign w:val="superscript"/>
              </w:rPr>
              <w:t>o</w:t>
            </w:r>
            <w:r w:rsidRPr="00FF0E99">
              <w:rPr>
                <w:color w:val="000000"/>
              </w:rPr>
              <w:t xml:space="preserve">C. Dlatego należy zwracać uwagę, czy w naczyniu na wierzchu nie wytworzyła się faza wodna lub nie nastąpiło zbrylenie, co może powodować błędy podczas </w:t>
            </w:r>
            <w:proofErr w:type="spellStart"/>
            <w:r w:rsidRPr="00FF0E99">
              <w:rPr>
                <w:color w:val="000000"/>
              </w:rPr>
              <w:t>naważania</w:t>
            </w:r>
            <w:proofErr w:type="spellEnd"/>
            <w:r w:rsidRPr="00FF0E99">
              <w:rPr>
                <w:color w:val="000000"/>
              </w:rPr>
              <w:t xml:space="preserve"> próbki. </w:t>
            </w:r>
          </w:p>
          <w:p w:rsidR="00187100" w:rsidRPr="00FF0E99" w:rsidRDefault="00187100" w:rsidP="00FF0E99">
            <w:pPr>
              <w:pStyle w:val="NormalnyWeb"/>
              <w:spacing w:before="0" w:after="0" w:line="360" w:lineRule="auto"/>
              <w:jc w:val="both"/>
              <w:rPr>
                <w:color w:val="000000"/>
              </w:rPr>
            </w:pPr>
            <w:r w:rsidRPr="00FF0E99">
              <w:rPr>
                <w:color w:val="000000"/>
              </w:rPr>
              <w:t> </w:t>
            </w:r>
            <w:bookmarkStart w:id="0" w:name="_GoBack"/>
            <w:bookmarkEnd w:id="0"/>
            <w:r w:rsidRPr="00FF0E99">
              <w:rPr>
                <w:rStyle w:val="Pogrubienie"/>
                <w:color w:val="000000"/>
              </w:rPr>
              <w:t>Odczynniki łatwo tworzące dymy (opary) </w:t>
            </w:r>
          </w:p>
          <w:p w:rsidR="00187100" w:rsidRPr="00FF0E99" w:rsidRDefault="00187100" w:rsidP="00FF0E99">
            <w:pPr>
              <w:pStyle w:val="NormalnyWeb"/>
              <w:spacing w:before="0" w:after="0" w:line="360" w:lineRule="auto"/>
              <w:jc w:val="both"/>
              <w:rPr>
                <w:color w:val="000000"/>
              </w:rPr>
            </w:pPr>
            <w:r w:rsidRPr="00FF0E99">
              <w:rPr>
                <w:color w:val="000000"/>
              </w:rPr>
              <w:t>Wysoce stężone kwasy jak: dymiący kwas siarkowy(VI), dymiący kwas azotowy(V), kwas solny lub brom wytwarzają opary powodujące korozję i powinny być magazynowane w dobrze wentylowanym pomieszczeniu. Dlatego też do ich przechowywania powinny być stosowane wyciągi zaopatrzone w antykorozyjne rezerwuary.</w:t>
            </w:r>
          </w:p>
          <w:p w:rsidR="00187100" w:rsidRPr="00FF0E99" w:rsidRDefault="00187100" w:rsidP="00FF0E99">
            <w:pPr>
              <w:pStyle w:val="NormalnyWeb"/>
              <w:spacing w:before="0" w:after="0" w:line="360" w:lineRule="auto"/>
              <w:jc w:val="both"/>
              <w:rPr>
                <w:color w:val="000000"/>
              </w:rPr>
            </w:pPr>
            <w:r w:rsidRPr="00FF0E99">
              <w:rPr>
                <w:color w:val="000000"/>
              </w:rPr>
              <w:t> </w:t>
            </w:r>
            <w:r w:rsidRPr="00FF0E99">
              <w:rPr>
                <w:rStyle w:val="Pogrubienie"/>
                <w:color w:val="000000"/>
              </w:rPr>
              <w:t>Stalowe butle napełnione sprężonymi lub skroplonymi gazami</w:t>
            </w:r>
          </w:p>
          <w:p w:rsidR="00187100" w:rsidRPr="00FF0E99" w:rsidRDefault="00187100" w:rsidP="00FF0E99">
            <w:pPr>
              <w:pStyle w:val="NormalnyWeb"/>
              <w:spacing w:before="0" w:after="0" w:line="360" w:lineRule="auto"/>
              <w:jc w:val="both"/>
              <w:rPr>
                <w:color w:val="000000"/>
              </w:rPr>
            </w:pPr>
            <w:r w:rsidRPr="00FF0E99">
              <w:rPr>
                <w:color w:val="000000"/>
              </w:rPr>
              <w:t>Ze względu na niebezpieczeństwo eksplozji w przypadku pożaru butle napełnione sprężonymi lub skroplonymi gazami powinny być magazynowane poza pracownią chemiczną, a gazy doprowadzone poprzez system specjalnych rurek, wykonanych z odpowiedniego tworzywa w zależności od rodzaju gazu. Jeżeli magazynowanie butli niemożliwe jest poza laboratorium, wówczas należy je przechowywać w specjalnych, dobrze wentylowanych szafach lub po użyciu należy je odtransportować w bezpieczne miejsce. Ważne jest aby pamiętać, iż podczas transportu butle muszą być zamknięte kołpakami wykonanymi z metalu, które zabezpieczają główny zawór butli, przed uszkodzeniem. Butle powinny być transportowane w przystosowanych do tego celu specjalnych wózkach zabezpieczających je przed upadkiem i ewentualnym wypadkiem osób transportujących. W przypadku gdy poprzez nieuwagę do butli przedostanie się ciecz, należy niezwłocznie zamknąć główny zawór i odłączyć aparat. W takiej sytuacji sporządza się dokładny pisemny raport opisujący zdarzenie. Butlę wraz z raportem należy zwrócić do magazynu, skąd powinna ona być odtransportowana do wytwórni gazów. Pod żadnym pozorem nie wolno czyścić butli samodzielnie. W nagłych nieprzewidzianych wypadkach, w razie wątpliwości należy wezwać straż pożarną lub wyspecjalizowaną firmę.</w:t>
            </w:r>
          </w:p>
          <w:tbl>
            <w:tblPr>
              <w:tblW w:w="5099" w:type="pct"/>
              <w:tblCellSpacing w:w="7" w:type="dxa"/>
              <w:tblCellMar>
                <w:left w:w="0" w:type="dxa"/>
                <w:right w:w="0" w:type="dxa"/>
              </w:tblCellMar>
              <w:tblLook w:val="0000" w:firstRow="0" w:lastRow="0" w:firstColumn="0" w:lastColumn="0" w:noHBand="0" w:noVBand="0"/>
            </w:tblPr>
            <w:tblGrid>
              <w:gridCol w:w="4687"/>
              <w:gridCol w:w="20"/>
              <w:gridCol w:w="4545"/>
            </w:tblGrid>
            <w:tr w:rsidR="00187100" w:rsidRPr="00FF0E99">
              <w:trPr>
                <w:tblCellSpacing w:w="7" w:type="dxa"/>
              </w:trPr>
              <w:tc>
                <w:tcPr>
                  <w:tcW w:w="2529" w:type="pct"/>
                  <w:tcBorders>
                    <w:top w:val="nil"/>
                    <w:left w:val="nil"/>
                    <w:bottom w:val="nil"/>
                    <w:right w:val="nil"/>
                  </w:tcBorders>
                  <w:vAlign w:val="center"/>
                </w:tcPr>
                <w:p w:rsidR="00187100" w:rsidRPr="00FF0E99" w:rsidRDefault="00FF0E99" w:rsidP="00FF0E99">
                  <w:pPr>
                    <w:spacing w:line="360" w:lineRule="auto"/>
                    <w:jc w:val="both"/>
                    <w:rPr>
                      <w:color w:val="000000"/>
                    </w:rPr>
                  </w:pPr>
                  <w:r w:rsidRPr="00FF0E99">
                    <w:rPr>
                      <w:noProof/>
                      <w:color w:val="000000"/>
                    </w:rPr>
                    <w:lastRenderedPageBreak/>
                    <w:drawing>
                      <wp:inline distT="0" distB="0" distL="0" distR="0">
                        <wp:extent cx="2857500" cy="3954780"/>
                        <wp:effectExtent l="0" t="0" r="0" b="7620"/>
                        <wp:docPr id="5" name="Obraz 5" descr="szafa z odczynni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zafa z odczynnika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954780"/>
                                </a:xfrm>
                                <a:prstGeom prst="rect">
                                  <a:avLst/>
                                </a:prstGeom>
                                <a:noFill/>
                                <a:ln>
                                  <a:noFill/>
                                </a:ln>
                              </pic:spPr>
                            </pic:pic>
                          </a:graphicData>
                        </a:graphic>
                      </wp:inline>
                    </w:drawing>
                  </w:r>
                </w:p>
              </w:tc>
              <w:tc>
                <w:tcPr>
                  <w:tcW w:w="0" w:type="auto"/>
                  <w:tcBorders>
                    <w:top w:val="nil"/>
                    <w:left w:val="nil"/>
                    <w:bottom w:val="nil"/>
                    <w:right w:val="nil"/>
                  </w:tcBorders>
                  <w:vAlign w:val="center"/>
                </w:tcPr>
                <w:p w:rsidR="00187100" w:rsidRPr="00FF0E99" w:rsidRDefault="00187100" w:rsidP="00FF0E99">
                  <w:pPr>
                    <w:spacing w:line="360" w:lineRule="auto"/>
                    <w:jc w:val="both"/>
                    <w:rPr>
                      <w:color w:val="000000"/>
                    </w:rPr>
                  </w:pPr>
                </w:p>
              </w:tc>
              <w:tc>
                <w:tcPr>
                  <w:tcW w:w="0" w:type="auto"/>
                  <w:tcBorders>
                    <w:top w:val="nil"/>
                    <w:left w:val="nil"/>
                    <w:bottom w:val="nil"/>
                    <w:right w:val="nil"/>
                  </w:tcBorders>
                  <w:vAlign w:val="center"/>
                </w:tcPr>
                <w:p w:rsidR="00187100" w:rsidRPr="00FF0E99" w:rsidRDefault="00FF0E99" w:rsidP="00FF0E99">
                  <w:pPr>
                    <w:spacing w:line="360" w:lineRule="auto"/>
                    <w:jc w:val="both"/>
                    <w:rPr>
                      <w:color w:val="000000"/>
                    </w:rPr>
                  </w:pPr>
                  <w:r w:rsidRPr="00FF0E99">
                    <w:rPr>
                      <w:noProof/>
                      <w:color w:val="000000"/>
                    </w:rPr>
                    <w:drawing>
                      <wp:inline distT="0" distB="0" distL="0" distR="0">
                        <wp:extent cx="2857500" cy="3817620"/>
                        <wp:effectExtent l="0" t="0" r="0" b="0"/>
                        <wp:docPr id="6" name="Obraz 6" descr="szafa z butl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zafa z butla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817620"/>
                                </a:xfrm>
                                <a:prstGeom prst="rect">
                                  <a:avLst/>
                                </a:prstGeom>
                                <a:noFill/>
                                <a:ln>
                                  <a:noFill/>
                                </a:ln>
                              </pic:spPr>
                            </pic:pic>
                          </a:graphicData>
                        </a:graphic>
                      </wp:inline>
                    </w:drawing>
                  </w:r>
                </w:p>
              </w:tc>
            </w:tr>
            <w:tr w:rsidR="00187100" w:rsidRPr="00FF0E99">
              <w:trPr>
                <w:tblCellSpacing w:w="7" w:type="dxa"/>
              </w:trPr>
              <w:tc>
                <w:tcPr>
                  <w:tcW w:w="4985" w:type="pct"/>
                  <w:gridSpan w:val="3"/>
                  <w:tcBorders>
                    <w:top w:val="nil"/>
                    <w:left w:val="nil"/>
                    <w:bottom w:val="nil"/>
                    <w:right w:val="nil"/>
                  </w:tcBorders>
                  <w:vAlign w:val="center"/>
                </w:tcPr>
                <w:p w:rsidR="00FF0E99" w:rsidRDefault="00187100" w:rsidP="00FF0E99">
                  <w:pPr>
                    <w:pStyle w:val="NormalnyWeb"/>
                    <w:spacing w:before="0" w:after="0" w:line="360" w:lineRule="auto"/>
                    <w:jc w:val="both"/>
                    <w:rPr>
                      <w:rStyle w:val="Uwydatnienie"/>
                      <w:color w:val="000000"/>
                    </w:rPr>
                  </w:pPr>
                  <w:r w:rsidRPr="00FF0E99">
                    <w:rPr>
                      <w:rStyle w:val="Uwydatnienie"/>
                      <w:color w:val="000000"/>
                    </w:rPr>
                    <w:t>Szafa z wentylacją do przechowywania odczynników chemicznych oraz szafa</w:t>
                  </w:r>
                </w:p>
                <w:p w:rsidR="00187100" w:rsidRPr="00FF0E99" w:rsidRDefault="00187100" w:rsidP="00FF0E99">
                  <w:pPr>
                    <w:pStyle w:val="NormalnyWeb"/>
                    <w:spacing w:before="0" w:after="0" w:line="360" w:lineRule="auto"/>
                    <w:jc w:val="both"/>
                    <w:rPr>
                      <w:color w:val="000000"/>
                    </w:rPr>
                  </w:pPr>
                  <w:r w:rsidRPr="00FF0E99">
                    <w:rPr>
                      <w:rStyle w:val="Uwydatnienie"/>
                      <w:color w:val="000000"/>
                    </w:rPr>
                    <w:t>do magazynowania butli ze sprężonymi gazami</w:t>
                  </w:r>
                </w:p>
                <w:p w:rsidR="00187100" w:rsidRPr="00FF0E99" w:rsidRDefault="00187100" w:rsidP="00FF0E99">
                  <w:pPr>
                    <w:pStyle w:val="NormalnyWeb"/>
                    <w:spacing w:before="0" w:after="0" w:line="360" w:lineRule="auto"/>
                    <w:jc w:val="both"/>
                    <w:rPr>
                      <w:color w:val="00000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21"/>
                    <w:gridCol w:w="3248"/>
                    <w:gridCol w:w="2983"/>
                    <w:gridCol w:w="2172"/>
                  </w:tblGrid>
                  <w:tr w:rsidR="00187100" w:rsidRPr="00FF0E99">
                    <w:trPr>
                      <w:tblCellSpacing w:w="7" w:type="dxa"/>
                    </w:trPr>
                    <w:tc>
                      <w:tcPr>
                        <w:tcW w:w="825" w:type="dxa"/>
                        <w:tcBorders>
                          <w:top w:val="nil"/>
                          <w:left w:val="nil"/>
                          <w:bottom w:val="nil"/>
                          <w:right w:val="nil"/>
                        </w:tcBorders>
                        <w:shd w:val="clear" w:color="auto" w:fill="FF6600"/>
                        <w:tcMar>
                          <w:top w:w="0" w:type="dxa"/>
                          <w:left w:w="0" w:type="dxa"/>
                          <w:bottom w:w="0" w:type="dxa"/>
                          <w:right w:w="0" w:type="dxa"/>
                        </w:tcMar>
                        <w:vAlign w:val="center"/>
                      </w:tcPr>
                      <w:p w:rsidR="00187100" w:rsidRPr="00FF0E99" w:rsidRDefault="00187100" w:rsidP="00FF0E99">
                        <w:pPr>
                          <w:pStyle w:val="NormalnyWeb"/>
                          <w:spacing w:before="0" w:after="0" w:line="360" w:lineRule="auto"/>
                          <w:jc w:val="both"/>
                          <w:rPr>
                            <w:color w:val="000000"/>
                          </w:rPr>
                        </w:pPr>
                        <w:r w:rsidRPr="00FF0E99">
                          <w:rPr>
                            <w:rStyle w:val="Pogrubienie"/>
                            <w:color w:val="000000"/>
                          </w:rPr>
                          <w:t>Grupa</w:t>
                        </w:r>
                      </w:p>
                    </w:tc>
                    <w:tc>
                      <w:tcPr>
                        <w:tcW w:w="3600" w:type="dxa"/>
                        <w:tcBorders>
                          <w:top w:val="nil"/>
                          <w:left w:val="nil"/>
                          <w:bottom w:val="nil"/>
                          <w:right w:val="nil"/>
                        </w:tcBorders>
                        <w:shd w:val="clear" w:color="auto" w:fill="FF6600"/>
                        <w:tcMar>
                          <w:top w:w="0" w:type="dxa"/>
                          <w:left w:w="0" w:type="dxa"/>
                          <w:bottom w:w="0" w:type="dxa"/>
                          <w:right w:w="0" w:type="dxa"/>
                        </w:tcMar>
                        <w:vAlign w:val="center"/>
                      </w:tcPr>
                      <w:p w:rsidR="00187100" w:rsidRPr="00FF0E99" w:rsidRDefault="00187100" w:rsidP="00FF0E99">
                        <w:pPr>
                          <w:pStyle w:val="NormalnyWeb"/>
                          <w:spacing w:before="0" w:after="0" w:line="360" w:lineRule="auto"/>
                          <w:jc w:val="both"/>
                          <w:rPr>
                            <w:color w:val="000000"/>
                          </w:rPr>
                        </w:pPr>
                        <w:r w:rsidRPr="00FF0E99">
                          <w:rPr>
                            <w:rStyle w:val="Pogrubienie"/>
                            <w:color w:val="000000"/>
                          </w:rPr>
                          <w:t>Nazwa materiałów</w:t>
                        </w:r>
                      </w:p>
                    </w:tc>
                    <w:tc>
                      <w:tcPr>
                        <w:tcW w:w="3240" w:type="dxa"/>
                        <w:tcBorders>
                          <w:top w:val="nil"/>
                          <w:left w:val="nil"/>
                          <w:bottom w:val="nil"/>
                          <w:right w:val="nil"/>
                        </w:tcBorders>
                        <w:shd w:val="clear" w:color="auto" w:fill="FF6600"/>
                        <w:tcMar>
                          <w:top w:w="0" w:type="dxa"/>
                          <w:left w:w="0" w:type="dxa"/>
                          <w:bottom w:w="0" w:type="dxa"/>
                          <w:right w:w="0" w:type="dxa"/>
                        </w:tcMar>
                        <w:vAlign w:val="center"/>
                      </w:tcPr>
                      <w:p w:rsidR="00187100" w:rsidRPr="00FF0E99" w:rsidRDefault="00187100" w:rsidP="00FF0E99">
                        <w:pPr>
                          <w:pStyle w:val="NormalnyWeb"/>
                          <w:spacing w:before="0" w:after="0" w:line="360" w:lineRule="auto"/>
                          <w:jc w:val="both"/>
                          <w:rPr>
                            <w:color w:val="000000"/>
                          </w:rPr>
                        </w:pPr>
                        <w:r w:rsidRPr="00FF0E99">
                          <w:rPr>
                            <w:rStyle w:val="Pogrubienie"/>
                            <w:color w:val="000000"/>
                          </w:rPr>
                          <w:t xml:space="preserve">Zasadniczy sposób przechowywania </w:t>
                        </w:r>
                      </w:p>
                    </w:tc>
                    <w:tc>
                      <w:tcPr>
                        <w:tcW w:w="2340" w:type="dxa"/>
                        <w:tcBorders>
                          <w:top w:val="nil"/>
                          <w:left w:val="nil"/>
                          <w:bottom w:val="nil"/>
                          <w:right w:val="nil"/>
                        </w:tcBorders>
                        <w:shd w:val="clear" w:color="auto" w:fill="FF6600"/>
                        <w:tcMar>
                          <w:top w:w="0" w:type="dxa"/>
                          <w:left w:w="0" w:type="dxa"/>
                          <w:bottom w:w="0" w:type="dxa"/>
                          <w:right w:w="0" w:type="dxa"/>
                        </w:tcMar>
                        <w:vAlign w:val="center"/>
                      </w:tcPr>
                      <w:p w:rsidR="00187100" w:rsidRPr="00FF0E99" w:rsidRDefault="00187100" w:rsidP="00FF0E99">
                        <w:pPr>
                          <w:pStyle w:val="NormalnyWeb"/>
                          <w:spacing w:before="0" w:after="0" w:line="360" w:lineRule="auto"/>
                          <w:jc w:val="both"/>
                          <w:rPr>
                            <w:color w:val="000000"/>
                          </w:rPr>
                        </w:pPr>
                        <w:r w:rsidRPr="00FF0E99">
                          <w:rPr>
                            <w:rStyle w:val="Pogrubienie"/>
                            <w:color w:val="000000"/>
                          </w:rPr>
                          <w:t xml:space="preserve">Zakaz składowania z grupą </w:t>
                        </w:r>
                      </w:p>
                    </w:tc>
                  </w:tr>
                  <w:tr w:rsidR="00187100" w:rsidRPr="00FF0E99">
                    <w:trPr>
                      <w:tblCellSpacing w:w="7" w:type="dxa"/>
                    </w:trPr>
                    <w:tc>
                      <w:tcPr>
                        <w:tcW w:w="825" w:type="dxa"/>
                        <w:tcBorders>
                          <w:top w:val="nil"/>
                          <w:left w:val="nil"/>
                          <w:bottom w:val="nil"/>
                          <w:right w:val="nil"/>
                        </w:tcBorders>
                        <w:shd w:val="clear" w:color="auto" w:fill="FF66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rStyle w:val="Pogrubienie"/>
                            <w:color w:val="000000"/>
                          </w:rPr>
                          <w:t>I</w:t>
                        </w:r>
                      </w:p>
                    </w:tc>
                    <w:tc>
                      <w:tcPr>
                        <w:tcW w:w="3600" w:type="dxa"/>
                        <w:tcBorders>
                          <w:top w:val="nil"/>
                          <w:left w:val="nil"/>
                          <w:bottom w:val="nil"/>
                          <w:right w:val="nil"/>
                        </w:tcBorders>
                        <w:shd w:val="clear" w:color="auto" w:fill="FF99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Materiały wybuchowe (górnicze, przemysłowe, wojskowe)</w:t>
                        </w:r>
                      </w:p>
                    </w:tc>
                    <w:tc>
                      <w:tcPr>
                        <w:tcW w:w="3240" w:type="dxa"/>
                        <w:tcBorders>
                          <w:top w:val="nil"/>
                          <w:left w:val="nil"/>
                          <w:bottom w:val="nil"/>
                          <w:right w:val="nil"/>
                        </w:tcBorders>
                        <w:shd w:val="clear" w:color="auto" w:fill="FFCC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w magazynach specjalnie do tego zbudowanych</w:t>
                        </w:r>
                      </w:p>
                    </w:tc>
                    <w:tc>
                      <w:tcPr>
                        <w:tcW w:w="2340" w:type="dxa"/>
                        <w:tcBorders>
                          <w:top w:val="nil"/>
                          <w:left w:val="nil"/>
                          <w:bottom w:val="nil"/>
                          <w:right w:val="nil"/>
                        </w:tcBorders>
                        <w:shd w:val="clear" w:color="auto" w:fill="FFFF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z substancjami żadnej innej grupy</w:t>
                        </w:r>
                      </w:p>
                    </w:tc>
                  </w:tr>
                  <w:tr w:rsidR="00187100" w:rsidRPr="00FF0E99">
                    <w:trPr>
                      <w:tblCellSpacing w:w="7" w:type="dxa"/>
                    </w:trPr>
                    <w:tc>
                      <w:tcPr>
                        <w:tcW w:w="825" w:type="dxa"/>
                        <w:tcBorders>
                          <w:top w:val="nil"/>
                          <w:left w:val="nil"/>
                          <w:bottom w:val="nil"/>
                          <w:right w:val="nil"/>
                        </w:tcBorders>
                        <w:shd w:val="clear" w:color="auto" w:fill="FF66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rStyle w:val="Pogrubienie"/>
                            <w:color w:val="000000"/>
                          </w:rPr>
                          <w:t>II</w:t>
                        </w:r>
                      </w:p>
                    </w:tc>
                    <w:tc>
                      <w:tcPr>
                        <w:tcW w:w="3600" w:type="dxa"/>
                        <w:tcBorders>
                          <w:top w:val="nil"/>
                          <w:left w:val="nil"/>
                          <w:bottom w:val="nil"/>
                          <w:right w:val="nil"/>
                        </w:tcBorders>
                        <w:shd w:val="clear" w:color="auto" w:fill="FF99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 xml:space="preserve">Materiały mogące tworzyć mieszaniny wybuchowe np.: azotany (wapnia, sodu, amonu, potasu), nadchlorany </w:t>
                        </w:r>
                      </w:p>
                    </w:tc>
                    <w:tc>
                      <w:tcPr>
                        <w:tcW w:w="3240" w:type="dxa"/>
                        <w:tcBorders>
                          <w:top w:val="nil"/>
                          <w:left w:val="nil"/>
                          <w:bottom w:val="nil"/>
                          <w:right w:val="nil"/>
                        </w:tcBorders>
                        <w:shd w:val="clear" w:color="auto" w:fill="FFCC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w izolowanych pomieszczeniach magazynów ogólnych, odpornych na ogień</w:t>
                        </w:r>
                      </w:p>
                    </w:tc>
                    <w:tc>
                      <w:tcPr>
                        <w:tcW w:w="2340" w:type="dxa"/>
                        <w:tcBorders>
                          <w:top w:val="nil"/>
                          <w:left w:val="nil"/>
                          <w:bottom w:val="nil"/>
                          <w:right w:val="nil"/>
                        </w:tcBorders>
                        <w:shd w:val="clear" w:color="auto" w:fill="FFFF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z substancjami żadnej innej grupy</w:t>
                        </w:r>
                      </w:p>
                    </w:tc>
                  </w:tr>
                  <w:tr w:rsidR="00187100" w:rsidRPr="00FF0E99">
                    <w:trPr>
                      <w:tblCellSpacing w:w="7" w:type="dxa"/>
                    </w:trPr>
                    <w:tc>
                      <w:tcPr>
                        <w:tcW w:w="825" w:type="dxa"/>
                        <w:tcBorders>
                          <w:top w:val="nil"/>
                          <w:left w:val="nil"/>
                          <w:bottom w:val="nil"/>
                          <w:right w:val="nil"/>
                        </w:tcBorders>
                        <w:shd w:val="clear" w:color="auto" w:fill="FF66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rStyle w:val="Pogrubienie"/>
                            <w:color w:val="000000"/>
                          </w:rPr>
                          <w:t>III</w:t>
                        </w:r>
                      </w:p>
                    </w:tc>
                    <w:tc>
                      <w:tcPr>
                        <w:tcW w:w="3600" w:type="dxa"/>
                        <w:tcBorders>
                          <w:top w:val="nil"/>
                          <w:left w:val="nil"/>
                          <w:bottom w:val="nil"/>
                          <w:right w:val="nil"/>
                        </w:tcBorders>
                        <w:shd w:val="clear" w:color="auto" w:fill="FF99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Ciekłe i sprężone gazy</w:t>
                        </w:r>
                        <w:r w:rsidRPr="00FF0E99">
                          <w:rPr>
                            <w:color w:val="000000"/>
                          </w:rPr>
                          <w:br/>
                          <w:t xml:space="preserve">a) palne i wybuchowe gazy (acetylen, wodór, metan, </w:t>
                        </w:r>
                        <w:proofErr w:type="spellStart"/>
                        <w:r w:rsidRPr="00FF0E99">
                          <w:rPr>
                            <w:color w:val="000000"/>
                          </w:rPr>
                          <w:t>eten</w:t>
                        </w:r>
                        <w:proofErr w:type="spellEnd"/>
                        <w:r w:rsidRPr="00FF0E99">
                          <w:rPr>
                            <w:color w:val="000000"/>
                          </w:rPr>
                          <w:t xml:space="preserve">, amoniak, siarkowodór itd.) </w:t>
                        </w:r>
                        <w:r w:rsidRPr="00FF0E99">
                          <w:rPr>
                            <w:color w:val="000000"/>
                          </w:rPr>
                          <w:br/>
                          <w:t>b) niepalne gazy obojętne (np. azot, tlenek węgla(IV), tlenek siarki(IV), hel i inne)</w:t>
                        </w:r>
                        <w:r w:rsidRPr="00FF0E99">
                          <w:rPr>
                            <w:color w:val="000000"/>
                          </w:rPr>
                          <w:br/>
                        </w:r>
                        <w:r w:rsidRPr="00FF0E99">
                          <w:rPr>
                            <w:color w:val="000000"/>
                          </w:rPr>
                          <w:lastRenderedPageBreak/>
                          <w:t xml:space="preserve">c) niepalne gazy jednak ze zdolnością podsycania ognia (np. tlen, powietrze sprężone, ciekłe powietrze) </w:t>
                        </w:r>
                      </w:p>
                    </w:tc>
                    <w:tc>
                      <w:tcPr>
                        <w:tcW w:w="3240" w:type="dxa"/>
                        <w:tcBorders>
                          <w:top w:val="nil"/>
                          <w:left w:val="nil"/>
                          <w:bottom w:val="nil"/>
                          <w:right w:val="nil"/>
                        </w:tcBorders>
                        <w:shd w:val="clear" w:color="auto" w:fill="FFCC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lastRenderedPageBreak/>
                          <w:t xml:space="preserve">w magazynach ognioodpornych lub na wolnym powietrzu pod dachem </w:t>
                        </w:r>
                      </w:p>
                      <w:p w:rsidR="00187100" w:rsidRPr="00FF0E99" w:rsidRDefault="00187100" w:rsidP="00FF0E99">
                        <w:pPr>
                          <w:pStyle w:val="NormalnyWeb"/>
                          <w:spacing w:before="0" w:after="0" w:line="360" w:lineRule="auto"/>
                          <w:jc w:val="both"/>
                          <w:rPr>
                            <w:color w:val="000000"/>
                          </w:rPr>
                        </w:pPr>
                        <w:r w:rsidRPr="00FF0E99">
                          <w:rPr>
                            <w:color w:val="000000"/>
                          </w:rPr>
                          <w:t xml:space="preserve">Można przechowywać z grupą materiałów </w:t>
                        </w:r>
                        <w:proofErr w:type="spellStart"/>
                        <w:r w:rsidRPr="00FF0E99">
                          <w:rPr>
                            <w:color w:val="000000"/>
                          </w:rPr>
                          <w:t>IIIb</w:t>
                        </w:r>
                        <w:proofErr w:type="spellEnd"/>
                        <w:r w:rsidRPr="00FF0E99">
                          <w:rPr>
                            <w:color w:val="000000"/>
                          </w:rPr>
                          <w:t xml:space="preserve"> w wydzielonych </w:t>
                        </w:r>
                        <w:r w:rsidRPr="00FF0E99">
                          <w:rPr>
                            <w:color w:val="000000"/>
                          </w:rPr>
                          <w:lastRenderedPageBreak/>
                          <w:t xml:space="preserve">pomieszczeniach magazynów ogólnych </w:t>
                        </w:r>
                      </w:p>
                    </w:tc>
                    <w:tc>
                      <w:tcPr>
                        <w:tcW w:w="2340" w:type="dxa"/>
                        <w:tcBorders>
                          <w:top w:val="nil"/>
                          <w:left w:val="nil"/>
                          <w:bottom w:val="nil"/>
                          <w:right w:val="nil"/>
                        </w:tcBorders>
                        <w:shd w:val="clear" w:color="auto" w:fill="FFFF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lastRenderedPageBreak/>
                          <w:t xml:space="preserve">z substancjami żadnej innej grupy I, IV, </w:t>
                        </w:r>
                        <w:proofErr w:type="spellStart"/>
                        <w:r w:rsidRPr="00FF0E99">
                          <w:rPr>
                            <w:color w:val="000000"/>
                          </w:rPr>
                          <w:t>Va</w:t>
                        </w:r>
                        <w:proofErr w:type="spellEnd"/>
                        <w:r w:rsidRPr="00FF0E99">
                          <w:rPr>
                            <w:color w:val="000000"/>
                          </w:rPr>
                          <w:t xml:space="preserve">, </w:t>
                        </w:r>
                        <w:proofErr w:type="spellStart"/>
                        <w:r w:rsidRPr="00FF0E99">
                          <w:rPr>
                            <w:color w:val="000000"/>
                          </w:rPr>
                          <w:t>Vb</w:t>
                        </w:r>
                        <w:proofErr w:type="spellEnd"/>
                        <w:r w:rsidRPr="00FF0E99">
                          <w:rPr>
                            <w:color w:val="000000"/>
                          </w:rPr>
                          <w:t xml:space="preserve">, VI, VII, VIII, </w:t>
                        </w:r>
                      </w:p>
                      <w:p w:rsidR="00187100" w:rsidRPr="00FF0E99" w:rsidRDefault="00187100" w:rsidP="00FF0E99">
                        <w:pPr>
                          <w:pStyle w:val="NormalnyWeb"/>
                          <w:spacing w:before="0" w:after="0" w:line="360" w:lineRule="auto"/>
                          <w:jc w:val="both"/>
                          <w:rPr>
                            <w:color w:val="000000"/>
                          </w:rPr>
                        </w:pPr>
                        <w:r w:rsidRPr="00FF0E99">
                          <w:rPr>
                            <w:color w:val="000000"/>
                          </w:rPr>
                          <w:t xml:space="preserve">I, II, </w:t>
                        </w:r>
                        <w:proofErr w:type="spellStart"/>
                        <w:r w:rsidRPr="00FF0E99">
                          <w:rPr>
                            <w:color w:val="000000"/>
                          </w:rPr>
                          <w:t>IIIa</w:t>
                        </w:r>
                        <w:proofErr w:type="spellEnd"/>
                        <w:r w:rsidRPr="00FF0E99">
                          <w:rPr>
                            <w:color w:val="000000"/>
                          </w:rPr>
                          <w:t xml:space="preserve">, IV, </w:t>
                        </w:r>
                        <w:proofErr w:type="spellStart"/>
                        <w:r w:rsidRPr="00FF0E99">
                          <w:rPr>
                            <w:color w:val="000000"/>
                          </w:rPr>
                          <w:t>Va</w:t>
                        </w:r>
                        <w:proofErr w:type="spellEnd"/>
                        <w:r w:rsidRPr="00FF0E99">
                          <w:rPr>
                            <w:color w:val="000000"/>
                          </w:rPr>
                          <w:t xml:space="preserve">, </w:t>
                        </w:r>
                        <w:proofErr w:type="spellStart"/>
                        <w:r w:rsidRPr="00FF0E99">
                          <w:rPr>
                            <w:color w:val="000000"/>
                          </w:rPr>
                          <w:t>Vb</w:t>
                        </w:r>
                        <w:proofErr w:type="spellEnd"/>
                        <w:r w:rsidRPr="00FF0E99">
                          <w:rPr>
                            <w:color w:val="000000"/>
                          </w:rPr>
                          <w:t xml:space="preserve">, VIII </w:t>
                        </w:r>
                      </w:p>
                    </w:tc>
                  </w:tr>
                  <w:tr w:rsidR="00187100" w:rsidRPr="00FF0E99">
                    <w:trPr>
                      <w:tblCellSpacing w:w="7" w:type="dxa"/>
                    </w:trPr>
                    <w:tc>
                      <w:tcPr>
                        <w:tcW w:w="825" w:type="dxa"/>
                        <w:tcBorders>
                          <w:top w:val="nil"/>
                          <w:left w:val="nil"/>
                          <w:bottom w:val="nil"/>
                          <w:right w:val="nil"/>
                        </w:tcBorders>
                        <w:shd w:val="clear" w:color="auto" w:fill="FF66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rStyle w:val="Pogrubienie"/>
                            <w:color w:val="000000"/>
                          </w:rPr>
                          <w:t>IV</w:t>
                        </w:r>
                      </w:p>
                    </w:tc>
                    <w:tc>
                      <w:tcPr>
                        <w:tcW w:w="3600" w:type="dxa"/>
                        <w:tcBorders>
                          <w:top w:val="nil"/>
                          <w:left w:val="nil"/>
                          <w:bottom w:val="nil"/>
                          <w:right w:val="nil"/>
                        </w:tcBorders>
                        <w:shd w:val="clear" w:color="auto" w:fill="FF99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Substancje łatwo zapalające się (np. fosfor biały, sód, potas, pył cynkowy, pył glinowy, nadtlenek baru, nadtlenek sodu, wapń oraz inne</w:t>
                        </w:r>
                      </w:p>
                    </w:tc>
                    <w:tc>
                      <w:tcPr>
                        <w:tcW w:w="3240" w:type="dxa"/>
                        <w:tcBorders>
                          <w:top w:val="nil"/>
                          <w:left w:val="nil"/>
                          <w:bottom w:val="nil"/>
                          <w:right w:val="nil"/>
                        </w:tcBorders>
                        <w:shd w:val="clear" w:color="auto" w:fill="FFCC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W wydzielonych pomieszczeniach magazynów ogólnych</w:t>
                        </w:r>
                      </w:p>
                    </w:tc>
                    <w:tc>
                      <w:tcPr>
                        <w:tcW w:w="2340" w:type="dxa"/>
                        <w:tcBorders>
                          <w:top w:val="nil"/>
                          <w:left w:val="nil"/>
                          <w:bottom w:val="nil"/>
                          <w:right w:val="nil"/>
                        </w:tcBorders>
                        <w:shd w:val="clear" w:color="auto" w:fill="FFFF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 xml:space="preserve">I, II, </w:t>
                        </w:r>
                        <w:proofErr w:type="spellStart"/>
                        <w:r w:rsidRPr="00FF0E99">
                          <w:rPr>
                            <w:color w:val="000000"/>
                          </w:rPr>
                          <w:t>IIIa</w:t>
                        </w:r>
                        <w:proofErr w:type="spellEnd"/>
                        <w:r w:rsidRPr="00FF0E99">
                          <w:rPr>
                            <w:color w:val="000000"/>
                          </w:rPr>
                          <w:t xml:space="preserve">, </w:t>
                        </w:r>
                        <w:proofErr w:type="spellStart"/>
                        <w:r w:rsidRPr="00FF0E99">
                          <w:rPr>
                            <w:color w:val="000000"/>
                          </w:rPr>
                          <w:t>IIIb</w:t>
                        </w:r>
                        <w:proofErr w:type="spellEnd"/>
                        <w:r w:rsidRPr="00FF0E99">
                          <w:rPr>
                            <w:color w:val="000000"/>
                          </w:rPr>
                          <w:t xml:space="preserve">, </w:t>
                        </w:r>
                        <w:proofErr w:type="spellStart"/>
                        <w:r w:rsidRPr="00FF0E99">
                          <w:rPr>
                            <w:color w:val="000000"/>
                          </w:rPr>
                          <w:t>IIIc</w:t>
                        </w:r>
                        <w:proofErr w:type="spellEnd"/>
                        <w:r w:rsidRPr="00FF0E99">
                          <w:rPr>
                            <w:color w:val="000000"/>
                          </w:rPr>
                          <w:t xml:space="preserve">, </w:t>
                        </w:r>
                        <w:proofErr w:type="spellStart"/>
                        <w:r w:rsidRPr="00FF0E99">
                          <w:rPr>
                            <w:color w:val="000000"/>
                          </w:rPr>
                          <w:t>Va</w:t>
                        </w:r>
                        <w:proofErr w:type="spellEnd"/>
                        <w:r w:rsidRPr="00FF0E99">
                          <w:rPr>
                            <w:color w:val="000000"/>
                          </w:rPr>
                          <w:t xml:space="preserve">, </w:t>
                        </w:r>
                        <w:proofErr w:type="spellStart"/>
                        <w:r w:rsidRPr="00FF0E99">
                          <w:rPr>
                            <w:color w:val="000000"/>
                          </w:rPr>
                          <w:t>Vb</w:t>
                        </w:r>
                        <w:proofErr w:type="spellEnd"/>
                        <w:r w:rsidRPr="00FF0E99">
                          <w:rPr>
                            <w:color w:val="000000"/>
                          </w:rPr>
                          <w:t xml:space="preserve">, VI, VII, VIII </w:t>
                        </w:r>
                      </w:p>
                    </w:tc>
                  </w:tr>
                  <w:tr w:rsidR="00187100" w:rsidRPr="00FF0E99">
                    <w:trPr>
                      <w:tblCellSpacing w:w="7" w:type="dxa"/>
                    </w:trPr>
                    <w:tc>
                      <w:tcPr>
                        <w:tcW w:w="825" w:type="dxa"/>
                        <w:tcBorders>
                          <w:top w:val="nil"/>
                          <w:left w:val="nil"/>
                          <w:bottom w:val="nil"/>
                          <w:right w:val="nil"/>
                        </w:tcBorders>
                        <w:shd w:val="clear" w:color="auto" w:fill="FF66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rStyle w:val="Pogrubienie"/>
                            <w:color w:val="000000"/>
                          </w:rPr>
                          <w:t>V</w:t>
                        </w:r>
                      </w:p>
                    </w:tc>
                    <w:tc>
                      <w:tcPr>
                        <w:tcW w:w="3600" w:type="dxa"/>
                        <w:tcBorders>
                          <w:top w:val="nil"/>
                          <w:left w:val="nil"/>
                          <w:bottom w:val="nil"/>
                          <w:right w:val="nil"/>
                        </w:tcBorders>
                        <w:shd w:val="clear" w:color="auto" w:fill="FF99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Materiały łatwopalne:</w:t>
                        </w:r>
                        <w:r w:rsidRPr="00FF0E99">
                          <w:rPr>
                            <w:color w:val="000000"/>
                          </w:rPr>
                          <w:br/>
                          <w:t>a) ciekłe (np. benzyna, aceton, eter, alkohole, rozpuszczalniki organiczne itp.)</w:t>
                        </w:r>
                        <w:r w:rsidRPr="00FF0E99">
                          <w:rPr>
                            <w:color w:val="000000"/>
                          </w:rPr>
                          <w:br/>
                          <w:t>b) stałe(np. celuloid, naftalen, fosfor czerwony, zapałki)</w:t>
                        </w:r>
                      </w:p>
                    </w:tc>
                    <w:tc>
                      <w:tcPr>
                        <w:tcW w:w="3240" w:type="dxa"/>
                        <w:tcBorders>
                          <w:top w:val="nil"/>
                          <w:left w:val="nil"/>
                          <w:bottom w:val="nil"/>
                          <w:right w:val="nil"/>
                        </w:tcBorders>
                        <w:shd w:val="clear" w:color="auto" w:fill="FFCC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W magazynach nieodpornych, zbiornikach podziemnych, beczkach metalowych w wydzielonych budynkach, w magazynach ognioodpornych w wydzielonych piwnicach murowanych</w:t>
                        </w:r>
                      </w:p>
                    </w:tc>
                    <w:tc>
                      <w:tcPr>
                        <w:tcW w:w="2340" w:type="dxa"/>
                        <w:tcBorders>
                          <w:top w:val="nil"/>
                          <w:left w:val="nil"/>
                          <w:bottom w:val="nil"/>
                          <w:right w:val="nil"/>
                        </w:tcBorders>
                        <w:shd w:val="clear" w:color="auto" w:fill="FFFF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 xml:space="preserve">I, II, </w:t>
                        </w:r>
                        <w:proofErr w:type="spellStart"/>
                        <w:r w:rsidRPr="00FF0E99">
                          <w:rPr>
                            <w:color w:val="000000"/>
                          </w:rPr>
                          <w:t>IIIa</w:t>
                        </w:r>
                        <w:proofErr w:type="spellEnd"/>
                        <w:r w:rsidRPr="00FF0E99">
                          <w:rPr>
                            <w:color w:val="000000"/>
                          </w:rPr>
                          <w:t xml:space="preserve">, </w:t>
                        </w:r>
                        <w:proofErr w:type="spellStart"/>
                        <w:r w:rsidRPr="00FF0E99">
                          <w:rPr>
                            <w:color w:val="000000"/>
                          </w:rPr>
                          <w:t>IIIb</w:t>
                        </w:r>
                        <w:proofErr w:type="spellEnd"/>
                        <w:r w:rsidRPr="00FF0E99">
                          <w:rPr>
                            <w:color w:val="000000"/>
                          </w:rPr>
                          <w:t xml:space="preserve">, </w:t>
                        </w:r>
                        <w:proofErr w:type="spellStart"/>
                        <w:r w:rsidRPr="00FF0E99">
                          <w:rPr>
                            <w:color w:val="000000"/>
                          </w:rPr>
                          <w:t>IIIc</w:t>
                        </w:r>
                        <w:proofErr w:type="spellEnd"/>
                        <w:r w:rsidRPr="00FF0E99">
                          <w:rPr>
                            <w:color w:val="000000"/>
                          </w:rPr>
                          <w:t xml:space="preserve">, VI, </w:t>
                        </w:r>
                        <w:proofErr w:type="spellStart"/>
                        <w:r w:rsidRPr="00FF0E99">
                          <w:rPr>
                            <w:color w:val="000000"/>
                          </w:rPr>
                          <w:t>Vb</w:t>
                        </w:r>
                        <w:proofErr w:type="spellEnd"/>
                        <w:r w:rsidRPr="00FF0E99">
                          <w:rPr>
                            <w:color w:val="000000"/>
                          </w:rPr>
                          <w:t xml:space="preserve">, VI, VII, VIII </w:t>
                        </w:r>
                      </w:p>
                    </w:tc>
                  </w:tr>
                  <w:tr w:rsidR="00187100" w:rsidRPr="00FF0E99">
                    <w:trPr>
                      <w:tblCellSpacing w:w="7" w:type="dxa"/>
                    </w:trPr>
                    <w:tc>
                      <w:tcPr>
                        <w:tcW w:w="825" w:type="dxa"/>
                        <w:tcBorders>
                          <w:top w:val="nil"/>
                          <w:left w:val="nil"/>
                          <w:bottom w:val="nil"/>
                          <w:right w:val="nil"/>
                        </w:tcBorders>
                        <w:shd w:val="clear" w:color="auto" w:fill="FF66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rStyle w:val="Pogrubienie"/>
                            <w:color w:val="000000"/>
                          </w:rPr>
                          <w:t>VI</w:t>
                        </w:r>
                      </w:p>
                    </w:tc>
                    <w:tc>
                      <w:tcPr>
                        <w:tcW w:w="3600" w:type="dxa"/>
                        <w:tcBorders>
                          <w:top w:val="nil"/>
                          <w:left w:val="nil"/>
                          <w:bottom w:val="nil"/>
                          <w:right w:val="nil"/>
                        </w:tcBorders>
                        <w:shd w:val="clear" w:color="auto" w:fill="FF99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Substancje trujące (np. chlor, arszenik, cyjanki itp.)</w:t>
                        </w:r>
                      </w:p>
                    </w:tc>
                    <w:tc>
                      <w:tcPr>
                        <w:tcW w:w="3240" w:type="dxa"/>
                        <w:tcBorders>
                          <w:top w:val="nil"/>
                          <w:left w:val="nil"/>
                          <w:bottom w:val="nil"/>
                          <w:right w:val="nil"/>
                        </w:tcBorders>
                        <w:shd w:val="clear" w:color="auto" w:fill="FFCC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w wydzielonych pomieszczeniach z zachowaniem ścisłej kontroli wydawania substancji</w:t>
                        </w:r>
                      </w:p>
                    </w:tc>
                    <w:tc>
                      <w:tcPr>
                        <w:tcW w:w="2340" w:type="dxa"/>
                        <w:tcBorders>
                          <w:top w:val="nil"/>
                          <w:left w:val="nil"/>
                          <w:bottom w:val="nil"/>
                          <w:right w:val="nil"/>
                        </w:tcBorders>
                        <w:shd w:val="clear" w:color="auto" w:fill="FFFF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 xml:space="preserve">I, </w:t>
                        </w:r>
                        <w:proofErr w:type="spellStart"/>
                        <w:r w:rsidRPr="00FF0E99">
                          <w:rPr>
                            <w:color w:val="000000"/>
                          </w:rPr>
                          <w:t>IIIa</w:t>
                        </w:r>
                        <w:proofErr w:type="spellEnd"/>
                        <w:r w:rsidRPr="00FF0E99">
                          <w:rPr>
                            <w:color w:val="000000"/>
                          </w:rPr>
                          <w:t xml:space="preserve">, </w:t>
                        </w:r>
                        <w:proofErr w:type="spellStart"/>
                        <w:r w:rsidRPr="00FF0E99">
                          <w:rPr>
                            <w:color w:val="000000"/>
                          </w:rPr>
                          <w:t>IIIb</w:t>
                        </w:r>
                        <w:proofErr w:type="spellEnd"/>
                        <w:r w:rsidRPr="00FF0E99">
                          <w:rPr>
                            <w:color w:val="000000"/>
                          </w:rPr>
                          <w:t xml:space="preserve">, </w:t>
                        </w:r>
                        <w:proofErr w:type="spellStart"/>
                        <w:r w:rsidRPr="00FF0E99">
                          <w:rPr>
                            <w:color w:val="000000"/>
                          </w:rPr>
                          <w:t>IIIc</w:t>
                        </w:r>
                        <w:proofErr w:type="spellEnd"/>
                        <w:r w:rsidRPr="00FF0E99">
                          <w:rPr>
                            <w:color w:val="000000"/>
                          </w:rPr>
                          <w:t xml:space="preserve">, IV, </w:t>
                        </w:r>
                        <w:proofErr w:type="spellStart"/>
                        <w:r w:rsidRPr="00FF0E99">
                          <w:rPr>
                            <w:color w:val="000000"/>
                          </w:rPr>
                          <w:t>Va</w:t>
                        </w:r>
                        <w:proofErr w:type="spellEnd"/>
                        <w:r w:rsidRPr="00FF0E99">
                          <w:rPr>
                            <w:color w:val="000000"/>
                          </w:rPr>
                          <w:t xml:space="preserve">, VIII </w:t>
                        </w:r>
                      </w:p>
                    </w:tc>
                  </w:tr>
                  <w:tr w:rsidR="00187100" w:rsidRPr="00FF0E99">
                    <w:trPr>
                      <w:tblCellSpacing w:w="7" w:type="dxa"/>
                    </w:trPr>
                    <w:tc>
                      <w:tcPr>
                        <w:tcW w:w="825" w:type="dxa"/>
                        <w:tcBorders>
                          <w:top w:val="nil"/>
                          <w:left w:val="nil"/>
                          <w:bottom w:val="nil"/>
                          <w:right w:val="nil"/>
                        </w:tcBorders>
                        <w:shd w:val="clear" w:color="auto" w:fill="FF66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rStyle w:val="Pogrubienie"/>
                            <w:color w:val="000000"/>
                          </w:rPr>
                          <w:t>VII</w:t>
                        </w:r>
                      </w:p>
                    </w:tc>
                    <w:tc>
                      <w:tcPr>
                        <w:tcW w:w="3600" w:type="dxa"/>
                        <w:tcBorders>
                          <w:top w:val="nil"/>
                          <w:left w:val="nil"/>
                          <w:bottom w:val="nil"/>
                          <w:right w:val="nil"/>
                        </w:tcBorders>
                        <w:shd w:val="clear" w:color="auto" w:fill="FF99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Stałe i ciekłe substancje utleniające (np. kwas azotowy(V), kwas siarkowy (IV), manganian(VII) potasu, brom, bezwodnik kwasu chromowego i inne)</w:t>
                        </w:r>
                      </w:p>
                    </w:tc>
                    <w:tc>
                      <w:tcPr>
                        <w:tcW w:w="3240" w:type="dxa"/>
                        <w:tcBorders>
                          <w:top w:val="nil"/>
                          <w:left w:val="nil"/>
                          <w:bottom w:val="nil"/>
                          <w:right w:val="nil"/>
                        </w:tcBorders>
                        <w:shd w:val="clear" w:color="auto" w:fill="FFCC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w oddzielnych pomieszczeniach dla każdej substancji</w:t>
                        </w:r>
                      </w:p>
                    </w:tc>
                    <w:tc>
                      <w:tcPr>
                        <w:tcW w:w="2340" w:type="dxa"/>
                        <w:tcBorders>
                          <w:top w:val="nil"/>
                          <w:left w:val="nil"/>
                          <w:bottom w:val="nil"/>
                          <w:right w:val="nil"/>
                        </w:tcBorders>
                        <w:shd w:val="clear" w:color="auto" w:fill="FFFF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z substancjami żadnej innej grupy</w:t>
                        </w:r>
                      </w:p>
                    </w:tc>
                  </w:tr>
                  <w:tr w:rsidR="00187100" w:rsidRPr="00FF0E99">
                    <w:trPr>
                      <w:tblCellSpacing w:w="7" w:type="dxa"/>
                    </w:trPr>
                    <w:tc>
                      <w:tcPr>
                        <w:tcW w:w="825" w:type="dxa"/>
                        <w:tcBorders>
                          <w:top w:val="nil"/>
                          <w:left w:val="nil"/>
                          <w:bottom w:val="nil"/>
                          <w:right w:val="nil"/>
                        </w:tcBorders>
                        <w:shd w:val="clear" w:color="auto" w:fill="FF66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rStyle w:val="Pogrubienie"/>
                            <w:color w:val="000000"/>
                          </w:rPr>
                          <w:t>VIII</w:t>
                        </w:r>
                      </w:p>
                    </w:tc>
                    <w:tc>
                      <w:tcPr>
                        <w:tcW w:w="3600" w:type="dxa"/>
                        <w:tcBorders>
                          <w:top w:val="nil"/>
                          <w:left w:val="nil"/>
                          <w:bottom w:val="nil"/>
                          <w:right w:val="nil"/>
                        </w:tcBorders>
                        <w:shd w:val="clear" w:color="auto" w:fill="FF99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 xml:space="preserve">Substancje łatwopalne, mogące ulec </w:t>
                        </w:r>
                        <w:proofErr w:type="spellStart"/>
                        <w:r w:rsidRPr="00FF0E99">
                          <w:rPr>
                            <w:color w:val="000000"/>
                          </w:rPr>
                          <w:t>samozapaleniu</w:t>
                        </w:r>
                        <w:proofErr w:type="spellEnd"/>
                        <w:r w:rsidRPr="00FF0E99">
                          <w:rPr>
                            <w:color w:val="000000"/>
                          </w:rPr>
                          <w:t xml:space="preserve"> się (np. bawełna, juta, len, torf, siano, węgiel drzewny, sadza i inne)</w:t>
                        </w:r>
                      </w:p>
                    </w:tc>
                    <w:tc>
                      <w:tcPr>
                        <w:tcW w:w="3240" w:type="dxa"/>
                        <w:tcBorders>
                          <w:top w:val="nil"/>
                          <w:left w:val="nil"/>
                          <w:bottom w:val="nil"/>
                          <w:right w:val="nil"/>
                        </w:tcBorders>
                        <w:shd w:val="clear" w:color="auto" w:fill="FFCC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w oddzielnych pomieszczeniach dla każdej substancji</w:t>
                        </w:r>
                      </w:p>
                    </w:tc>
                    <w:tc>
                      <w:tcPr>
                        <w:tcW w:w="2340" w:type="dxa"/>
                        <w:tcBorders>
                          <w:top w:val="nil"/>
                          <w:left w:val="nil"/>
                          <w:bottom w:val="nil"/>
                          <w:right w:val="nil"/>
                        </w:tcBorders>
                        <w:shd w:val="clear" w:color="auto" w:fill="FFFF00"/>
                        <w:tcMar>
                          <w:top w:w="0" w:type="dxa"/>
                          <w:left w:w="0" w:type="dxa"/>
                          <w:bottom w:w="0" w:type="dxa"/>
                          <w:right w:w="0" w:type="dxa"/>
                        </w:tcMar>
                      </w:tcPr>
                      <w:p w:rsidR="00187100" w:rsidRPr="00FF0E99" w:rsidRDefault="00187100" w:rsidP="00FF0E99">
                        <w:pPr>
                          <w:pStyle w:val="NormalnyWeb"/>
                          <w:spacing w:before="0" w:after="0" w:line="360" w:lineRule="auto"/>
                          <w:jc w:val="both"/>
                          <w:rPr>
                            <w:color w:val="000000"/>
                          </w:rPr>
                        </w:pPr>
                        <w:r w:rsidRPr="00FF0E99">
                          <w:rPr>
                            <w:color w:val="000000"/>
                          </w:rPr>
                          <w:t>z substancjami żadnej innej grupy</w:t>
                        </w:r>
                      </w:p>
                    </w:tc>
                  </w:tr>
                </w:tbl>
                <w:p w:rsidR="00187100" w:rsidRPr="00FF0E99" w:rsidRDefault="00187100" w:rsidP="00FF0E99">
                  <w:pPr>
                    <w:spacing w:line="360" w:lineRule="auto"/>
                    <w:jc w:val="both"/>
                    <w:rPr>
                      <w:color w:val="000000"/>
                    </w:rPr>
                  </w:pPr>
                </w:p>
              </w:tc>
            </w:tr>
          </w:tbl>
          <w:p w:rsidR="00187100" w:rsidRPr="00FF0E99" w:rsidRDefault="00187100" w:rsidP="00FF0E99">
            <w:pPr>
              <w:spacing w:line="360" w:lineRule="auto"/>
              <w:jc w:val="both"/>
              <w:rPr>
                <w:color w:val="000000"/>
              </w:rPr>
            </w:pPr>
          </w:p>
        </w:tc>
      </w:tr>
    </w:tbl>
    <w:p w:rsidR="00187100" w:rsidRPr="00FF0E99" w:rsidRDefault="00187100" w:rsidP="00FF0E99">
      <w:pPr>
        <w:spacing w:line="360" w:lineRule="auto"/>
        <w:jc w:val="both"/>
      </w:pPr>
    </w:p>
    <w:sectPr w:rsidR="00187100" w:rsidRPr="00FF0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261C5"/>
    <w:multiLevelType w:val="multilevel"/>
    <w:tmpl w:val="0A18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02215"/>
    <w:multiLevelType w:val="multilevel"/>
    <w:tmpl w:val="72E0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26117"/>
    <w:multiLevelType w:val="multilevel"/>
    <w:tmpl w:val="F094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00"/>
    <w:rsid w:val="000B65F1"/>
    <w:rsid w:val="00187100"/>
    <w:rsid w:val="007A74FF"/>
    <w:rsid w:val="009A3A8B"/>
    <w:rsid w:val="00A95322"/>
    <w:rsid w:val="00CE4C9C"/>
    <w:rsid w:val="00FE3659"/>
    <w:rsid w:val="00FF0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AE84F4-69C0-46D4-B969-19DC6CF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87100"/>
    <w:rPr>
      <w:b/>
      <w:bCs/>
      <w:color w:val="59191F"/>
      <w:sz w:val="20"/>
      <w:szCs w:val="20"/>
      <w:u w:val="single"/>
    </w:rPr>
  </w:style>
  <w:style w:type="paragraph" w:styleId="NormalnyWeb">
    <w:name w:val="Normal (Web)"/>
    <w:basedOn w:val="Normalny"/>
    <w:rsid w:val="00187100"/>
    <w:pPr>
      <w:spacing w:before="20" w:after="100"/>
    </w:pPr>
  </w:style>
  <w:style w:type="paragraph" w:customStyle="1" w:styleId="doctitle">
    <w:name w:val="doc_title"/>
    <w:basedOn w:val="Normalny"/>
    <w:rsid w:val="00187100"/>
    <w:pPr>
      <w:spacing w:before="20" w:after="100"/>
    </w:pPr>
    <w:rPr>
      <w:b/>
      <w:bCs/>
      <w:color w:val="59191F"/>
      <w:sz w:val="32"/>
      <w:szCs w:val="32"/>
    </w:rPr>
  </w:style>
  <w:style w:type="character" w:styleId="Pogrubienie">
    <w:name w:val="Strong"/>
    <w:basedOn w:val="Domylnaczcionkaakapitu"/>
    <w:qFormat/>
    <w:rsid w:val="00187100"/>
    <w:rPr>
      <w:b/>
      <w:bCs/>
    </w:rPr>
  </w:style>
  <w:style w:type="character" w:styleId="Uwydatnienie">
    <w:name w:val="Emphasis"/>
    <w:basedOn w:val="Domylnaczcionkaakapitu"/>
    <w:qFormat/>
    <w:rsid w:val="00187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68049">
      <w:bodyDiv w:val="1"/>
      <w:marLeft w:val="0"/>
      <w:marRight w:val="0"/>
      <w:marTop w:val="0"/>
      <w:marBottom w:val="0"/>
      <w:divBdr>
        <w:top w:val="none" w:sz="0" w:space="0" w:color="auto"/>
        <w:left w:val="none" w:sz="0" w:space="0" w:color="auto"/>
        <w:bottom w:val="none" w:sz="0" w:space="0" w:color="auto"/>
        <w:right w:val="none" w:sz="0" w:space="0" w:color="auto"/>
      </w:divBdr>
      <w:divsChild>
        <w:div w:id="13241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javascript:flip('naSpisTresci2')"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1480</Words>
  <Characters>8885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Bezpieczne przechowywanie odczynników chemicznych</vt:lpstr>
    </vt:vector>
  </TitlesOfParts>
  <Company/>
  <LinksUpToDate>false</LinksUpToDate>
  <CharactersWithSpaces>10345</CharactersWithSpaces>
  <SharedDoc>false</SharedDoc>
  <HLinks>
    <vt:vector size="6" baseType="variant">
      <vt:variant>
        <vt:i4>4456513</vt:i4>
      </vt:variant>
      <vt:variant>
        <vt:i4>0</vt:i4>
      </vt:variant>
      <vt:variant>
        <vt:i4>0</vt:i4>
      </vt:variant>
      <vt:variant>
        <vt:i4>5</vt:i4>
      </vt:variant>
      <vt:variant>
        <vt:lpwstr>javascript:flip('naSpisTresci2')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Bezpieczne przechowywanie odczynników chemicznych</dc:title>
  <dc:subject/>
  <dc:creator>AR</dc:creator>
  <cp:keywords/>
  <dc:description/>
  <cp:lastModifiedBy>user</cp:lastModifiedBy>
  <cp:revision>4</cp:revision>
  <cp:lastPrinted>2007-07-02T10:03:00Z</cp:lastPrinted>
  <dcterms:created xsi:type="dcterms:W3CDTF">2020-02-24T09:27:00Z</dcterms:created>
  <dcterms:modified xsi:type="dcterms:W3CDTF">2020-02-24T09:29:00Z</dcterms:modified>
</cp:coreProperties>
</file>